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7CE" w:rsidRPr="00C21220" w:rsidRDefault="00CE47CE" w:rsidP="00CE47CE">
      <w:pPr>
        <w:pStyle w:val="Sansinterligne"/>
        <w:rPr>
          <w:rFonts w:ascii="Cambria" w:hAnsi="Cambria"/>
          <w:lang w:eastAsia="fr-FR"/>
        </w:rPr>
      </w:pPr>
      <w:bookmarkStart w:id="0" w:name="_GoBack"/>
      <w:bookmarkEnd w:id="0"/>
      <w:r w:rsidRPr="00C21220">
        <w:rPr>
          <w:rFonts w:ascii="Cambria" w:hAnsi="Cambria"/>
          <w:noProof/>
          <w:lang w:eastAsia="fr-FR"/>
        </w:rPr>
        <w:drawing>
          <wp:anchor distT="0" distB="0" distL="114300" distR="114300" simplePos="0" relativeHeight="251659264" behindDoc="1" locked="0" layoutInCell="1" allowOverlap="1" wp14:anchorId="102A9F07" wp14:editId="4E239021">
            <wp:simplePos x="0" y="0"/>
            <wp:positionH relativeFrom="page">
              <wp:align>right</wp:align>
            </wp:positionH>
            <wp:positionV relativeFrom="paragraph">
              <wp:posOffset>-941070</wp:posOffset>
            </wp:positionV>
            <wp:extent cx="7548880" cy="26860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_sans_txt.jpg"/>
                    <pic:cNvPicPr/>
                  </pic:nvPicPr>
                  <pic:blipFill>
                    <a:blip r:embed="rId7">
                      <a:extLst>
                        <a:ext uri="{28A0092B-C50C-407E-A947-70E740481C1C}">
                          <a14:useLocalDpi xmlns:a14="http://schemas.microsoft.com/office/drawing/2010/main" val="0"/>
                        </a:ext>
                      </a:extLst>
                    </a:blip>
                    <a:stretch>
                      <a:fillRect/>
                    </a:stretch>
                  </pic:blipFill>
                  <pic:spPr>
                    <a:xfrm>
                      <a:off x="0" y="0"/>
                      <a:ext cx="7548880" cy="2686050"/>
                    </a:xfrm>
                    <a:prstGeom prst="rect">
                      <a:avLst/>
                    </a:prstGeom>
                  </pic:spPr>
                </pic:pic>
              </a:graphicData>
            </a:graphic>
          </wp:anchor>
        </w:drawing>
      </w:r>
      <w:r w:rsidRPr="00C21220">
        <w:rPr>
          <w:rFonts w:ascii="Cambria" w:hAnsi="Cambria"/>
          <w:noProof/>
          <w:lang w:eastAsia="fr-FR"/>
        </w:rPr>
        <mc:AlternateContent>
          <mc:Choice Requires="wps">
            <w:drawing>
              <wp:anchor distT="45720" distB="45720" distL="114300" distR="114300" simplePos="0" relativeHeight="251660288" behindDoc="0" locked="0" layoutInCell="1" allowOverlap="1" wp14:anchorId="455D31DB" wp14:editId="234E7FAB">
                <wp:simplePos x="0" y="0"/>
                <wp:positionH relativeFrom="margin">
                  <wp:posOffset>2112645</wp:posOffset>
                </wp:positionH>
                <wp:positionV relativeFrom="paragraph">
                  <wp:posOffset>-633095</wp:posOffset>
                </wp:positionV>
                <wp:extent cx="3648075" cy="11049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La Présidence</w:t>
                            </w:r>
                          </w:p>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5D31DB" id="_x0000_t202" coordsize="21600,21600" o:spt="202" path="m,l,21600r21600,l21600,xe">
                <v:stroke joinstyle="miter"/>
                <v:path gradientshapeok="t" o:connecttype="rect"/>
              </v:shapetype>
              <v:shape id="Zone de texte 2" o:spid="_x0000_s1026" type="#_x0000_t202" style="position:absolute;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" filled="f" stroked="f">
                <v:textbox>
                  <w:txbxContent>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La Présidence</w:t>
                      </w:r>
                    </w:p>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v:textbox>
                <w10:wrap anchorx="margin"/>
              </v:shape>
            </w:pict>
          </mc:Fallback>
        </mc:AlternateContent>
      </w:r>
      <w:r>
        <w:rPr>
          <w:rFonts w:ascii="Cambria" w:hAnsi="Cambria"/>
          <w:lang w:eastAsia="fr-FR"/>
        </w:rPr>
        <w:tab/>
      </w:r>
      <w:r w:rsidRPr="00C21220">
        <w:rPr>
          <w:rFonts w:ascii="Cambria" w:hAnsi="Cambria"/>
          <w:lang w:eastAsia="fr-FR"/>
        </w:rPr>
        <w:t xml:space="preserve">      </w:t>
      </w:r>
    </w:p>
    <w:p w:rsidR="00CE47CE" w:rsidRPr="00C21220" w:rsidRDefault="00CE47CE" w:rsidP="00CE47CE">
      <w:pPr>
        <w:jc w:val="cente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tabs>
          <w:tab w:val="center" w:pos="4533"/>
          <w:tab w:val="left" w:pos="6544"/>
        </w:tabs>
        <w:rPr>
          <w:rFonts w:ascii="Cambria" w:hAnsi="Cambria"/>
          <w:u w:val="single"/>
        </w:rPr>
      </w:pPr>
      <w:r w:rsidRPr="00C21220">
        <w:rPr>
          <w:rFonts w:ascii="Cambria" w:hAnsi="Cambria" w:cs="Arial"/>
          <w:i/>
          <w:noProof/>
          <w:lang w:eastAsia="fr-FR"/>
        </w:rPr>
        <mc:AlternateContent>
          <mc:Choice Requires="wps">
            <w:drawing>
              <wp:anchor distT="4294967295" distB="4294967295" distL="114300" distR="114300" simplePos="0" relativeHeight="251662336" behindDoc="0" locked="0" layoutInCell="1" allowOverlap="1" wp14:anchorId="1584862F" wp14:editId="181C825B">
                <wp:simplePos x="0" y="0"/>
                <wp:positionH relativeFrom="column">
                  <wp:posOffset>1943100</wp:posOffset>
                </wp:positionH>
                <wp:positionV relativeFrom="paragraph">
                  <wp:posOffset>57149</wp:posOffset>
                </wp:positionV>
                <wp:extent cx="1828800" cy="0"/>
                <wp:effectExtent l="0" t="0" r="19050"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62C6E9" id="Connecteur droit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" strokecolor="black [3213]" strokeweight="1.5pt">
                <v:shadow on="t" color="black" opacity="22937f" origin=",.5" offset="0,.63889mm"/>
                <o:lock v:ext="edit" shapetype="f"/>
              </v:line>
            </w:pict>
          </mc:Fallback>
        </mc:AlternateContent>
      </w:r>
    </w:p>
    <w:p w:rsidR="00CE47CE" w:rsidRPr="00C21220" w:rsidRDefault="00CE47CE" w:rsidP="00CE47CE">
      <w:pPr>
        <w:tabs>
          <w:tab w:val="left" w:pos="3240"/>
        </w:tabs>
        <w:jc w:val="center"/>
        <w:rPr>
          <w:rFonts w:ascii="Cambria" w:hAnsi="Cambria" w:cs="Arial"/>
          <w:b/>
        </w:rPr>
      </w:pPr>
      <w:r w:rsidRPr="00C21220">
        <w:rPr>
          <w:rFonts w:ascii="Cambria" w:hAnsi="Cambria" w:cs="Arial"/>
          <w:b/>
        </w:rPr>
        <w:t>BUREAU DE LA COMMUNICATION</w:t>
      </w:r>
    </w:p>
    <w:p w:rsidR="00CE47CE" w:rsidRPr="00C21220" w:rsidRDefault="003E272C" w:rsidP="00CE47CE">
      <w:pPr>
        <w:tabs>
          <w:tab w:val="left" w:pos="3240"/>
        </w:tabs>
        <w:jc w:val="center"/>
        <w:rPr>
          <w:rFonts w:ascii="Cambria" w:hAnsi="Cambria" w:cs="Arial"/>
          <w:b/>
          <w:i/>
        </w:rPr>
      </w:pPr>
      <w:r>
        <w:rPr>
          <w:rFonts w:ascii="Cambria" w:hAnsi="Cambria" w:cs="Arial"/>
          <w:b/>
          <w:i/>
        </w:rPr>
        <w:t>Mercredi 8</w:t>
      </w:r>
      <w:r w:rsidR="00EA00C5">
        <w:rPr>
          <w:rFonts w:ascii="Cambria" w:hAnsi="Cambria" w:cs="Arial"/>
          <w:b/>
          <w:i/>
        </w:rPr>
        <w:t xml:space="preserve"> </w:t>
      </w:r>
      <w:r>
        <w:rPr>
          <w:rFonts w:ascii="Cambria" w:hAnsi="Cambria" w:cs="Arial"/>
          <w:b/>
          <w:i/>
        </w:rPr>
        <w:t>avril</w:t>
      </w:r>
      <w:r w:rsidR="00015FF2">
        <w:rPr>
          <w:rFonts w:ascii="Cambria" w:hAnsi="Cambria" w:cs="Arial"/>
          <w:b/>
          <w:i/>
        </w:rPr>
        <w:t xml:space="preserve"> </w:t>
      </w:r>
      <w:r w:rsidR="00087CFE">
        <w:rPr>
          <w:rFonts w:ascii="Cambria" w:hAnsi="Cambria" w:cs="Arial"/>
          <w:b/>
          <w:i/>
        </w:rPr>
        <w:t>2020</w:t>
      </w:r>
    </w:p>
    <w:p w:rsidR="00CE47CE" w:rsidRPr="00C21220" w:rsidRDefault="00CE47CE" w:rsidP="00CE47CE">
      <w:pPr>
        <w:tabs>
          <w:tab w:val="left" w:pos="3240"/>
        </w:tabs>
        <w:jc w:val="center"/>
        <w:rPr>
          <w:rFonts w:ascii="Cambria" w:hAnsi="Cambria"/>
        </w:rPr>
      </w:pPr>
      <w:r w:rsidRPr="00C21220">
        <w:rPr>
          <w:rFonts w:ascii="Cambria" w:hAnsi="Cambria" w:cs="Arial"/>
          <w:i/>
          <w:noProof/>
          <w:lang w:eastAsia="fr-FR"/>
        </w:rPr>
        <mc:AlternateContent>
          <mc:Choice Requires="wps">
            <w:drawing>
              <wp:anchor distT="4294967295" distB="4294967295" distL="114300" distR="114300" simplePos="0" relativeHeight="251661312" behindDoc="0" locked="0" layoutInCell="1" allowOverlap="1" wp14:anchorId="18C1A943" wp14:editId="58873EC3">
                <wp:simplePos x="0" y="0"/>
                <wp:positionH relativeFrom="column">
                  <wp:posOffset>1943100</wp:posOffset>
                </wp:positionH>
                <wp:positionV relativeFrom="paragraph">
                  <wp:posOffset>82549</wp:posOffset>
                </wp:positionV>
                <wp:extent cx="1828800" cy="0"/>
                <wp:effectExtent l="0" t="0" r="19050"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6954D17" id="Connecteur droit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" strokeweight="1.5pt">
                <v:shadow on="t" color="black" opacity="22937f" origin=",.5" offset="0,.63889mm"/>
                <o:lock v:ext="edit" shapetype="f"/>
              </v:line>
            </w:pict>
          </mc:Fallback>
        </mc:AlternateContent>
      </w:r>
    </w:p>
    <w:p w:rsidR="00CE47CE" w:rsidRPr="00C21220" w:rsidRDefault="00CE47CE" w:rsidP="00CE47CE">
      <w:pPr>
        <w:tabs>
          <w:tab w:val="left" w:pos="3240"/>
        </w:tabs>
        <w:rPr>
          <w:rFonts w:ascii="Cambria" w:hAnsi="Cambria" w:cs="Arial"/>
          <w:b/>
          <w:i/>
        </w:rPr>
      </w:pPr>
    </w:p>
    <w:p w:rsidR="00CE47CE" w:rsidRPr="00DC0EA9" w:rsidRDefault="00CE47CE" w:rsidP="00CE47CE">
      <w:pPr>
        <w:pBdr>
          <w:top w:val="single" w:sz="4" w:space="0" w:color="auto"/>
          <w:left w:val="single" w:sz="4" w:space="4" w:color="auto"/>
          <w:bottom w:val="single" w:sz="4" w:space="1" w:color="auto"/>
          <w:right w:val="single" w:sz="4" w:space="4" w:color="auto"/>
        </w:pBdr>
        <w:tabs>
          <w:tab w:val="center" w:pos="4536"/>
          <w:tab w:val="left" w:pos="7440"/>
        </w:tabs>
        <w:jc w:val="both"/>
        <w:rPr>
          <w:rFonts w:ascii="Cambria" w:hAnsi="Cambria"/>
          <w:b/>
        </w:rPr>
      </w:pPr>
      <w:r w:rsidRPr="00C21220">
        <w:rPr>
          <w:rFonts w:ascii="Cambria" w:hAnsi="Cambria"/>
          <w:b/>
        </w:rPr>
        <w:tab/>
        <w:t xml:space="preserve">Compte rendu du Conseil des ministres </w:t>
      </w:r>
    </w:p>
    <w:p w:rsidR="00141919" w:rsidRDefault="00141919" w:rsidP="00141919">
      <w:pPr>
        <w:pStyle w:val="-LettreTexteGEDA"/>
        <w:spacing w:before="0"/>
        <w:ind w:firstLine="0"/>
        <w:rPr>
          <w:rFonts w:asciiTheme="majorHAnsi" w:hAnsiTheme="majorHAnsi"/>
          <w:b/>
        </w:rPr>
      </w:pPr>
    </w:p>
    <w:p w:rsidR="003E272C" w:rsidRDefault="003E272C" w:rsidP="00927FB3">
      <w:pPr>
        <w:pStyle w:val="-LettreTexteGEDA"/>
        <w:ind w:firstLine="0"/>
        <w:rPr>
          <w:rFonts w:ascii="Cambria" w:hAnsi="Cambria"/>
          <w:b/>
        </w:rPr>
      </w:pPr>
    </w:p>
    <w:p w:rsidR="00086B53" w:rsidRDefault="00086B53" w:rsidP="00086B53">
      <w:pPr>
        <w:jc w:val="both"/>
        <w:rPr>
          <w:rFonts w:ascii="Cambria" w:hAnsi="Cambria"/>
          <w:b/>
          <w:bCs/>
          <w:lang w:eastAsia="en-US"/>
        </w:rPr>
      </w:pPr>
      <w:r>
        <w:rPr>
          <w:rFonts w:ascii="Cambria" w:hAnsi="Cambria"/>
          <w:b/>
          <w:bCs/>
        </w:rPr>
        <w:t>Projet de délibération portant adaptation des procédures en matière civile et administrative</w:t>
      </w:r>
    </w:p>
    <w:p w:rsidR="00086B53" w:rsidRDefault="00086B53" w:rsidP="00086B53">
      <w:pPr>
        <w:jc w:val="both"/>
        <w:rPr>
          <w:rFonts w:ascii="Cambria" w:hAnsi="Cambria"/>
        </w:rPr>
      </w:pPr>
    </w:p>
    <w:p w:rsidR="00086B53" w:rsidRDefault="00086B53" w:rsidP="00086B53">
      <w:pPr>
        <w:jc w:val="both"/>
        <w:rPr>
          <w:rFonts w:ascii="Cambria" w:hAnsi="Cambria"/>
        </w:rPr>
      </w:pPr>
      <w:r>
        <w:rPr>
          <w:rFonts w:ascii="Cambria" w:hAnsi="Cambria"/>
        </w:rPr>
        <w:t>Pour faire face aux conséquences économiques et sociales de la propagation de l’épidémie de covid-19 et aux conséquences pratiques des mesures prises pour éviter cette propagation, il est indispensable de prendre des mesures d’adaptation temporaire.</w:t>
      </w:r>
    </w:p>
    <w:p w:rsidR="00086B53" w:rsidRDefault="00086B53" w:rsidP="00086B53">
      <w:pPr>
        <w:jc w:val="both"/>
        <w:rPr>
          <w:rFonts w:ascii="Cambria" w:hAnsi="Cambria"/>
        </w:rPr>
      </w:pPr>
    </w:p>
    <w:p w:rsidR="00086B53" w:rsidRDefault="00086B53" w:rsidP="00086B53">
      <w:pPr>
        <w:jc w:val="both"/>
        <w:rPr>
          <w:rFonts w:ascii="Cambria" w:hAnsi="Cambria"/>
        </w:rPr>
      </w:pPr>
      <w:r>
        <w:rPr>
          <w:rFonts w:ascii="Cambria" w:hAnsi="Cambria"/>
        </w:rPr>
        <w:t>Le Conseil des ministres a préparé un projet de délibération qui adapte l’ensemble des délais qui s’imposent habituellement dans les relations avec l’administration comme en procédure civile. Il est à noter que ce texte ne s’applique pas à l’administration fiscale qui fera l’objet de mesures spécifiques.</w:t>
      </w:r>
    </w:p>
    <w:p w:rsidR="00086B53" w:rsidRDefault="00086B53" w:rsidP="00086B53">
      <w:pPr>
        <w:jc w:val="both"/>
        <w:rPr>
          <w:rFonts w:ascii="Cambria" w:hAnsi="Cambria"/>
        </w:rPr>
      </w:pPr>
    </w:p>
    <w:p w:rsidR="00086B53" w:rsidRDefault="00086B53" w:rsidP="00086B53">
      <w:pPr>
        <w:jc w:val="both"/>
        <w:rPr>
          <w:rFonts w:ascii="Cambria" w:hAnsi="Cambria"/>
        </w:rPr>
      </w:pPr>
      <w:r>
        <w:rPr>
          <w:rFonts w:ascii="Cambria" w:hAnsi="Cambria"/>
        </w:rPr>
        <w:t>Ce texte proroge les délais qui sont échus ou qui viennent à échéance pendant la période de l’état d’urgence sanitaire.</w:t>
      </w:r>
    </w:p>
    <w:p w:rsidR="00086B53" w:rsidRDefault="00086B53" w:rsidP="00086B53">
      <w:pPr>
        <w:jc w:val="both"/>
        <w:rPr>
          <w:rFonts w:ascii="Cambria" w:hAnsi="Cambria"/>
        </w:rPr>
      </w:pPr>
    </w:p>
    <w:p w:rsidR="00086B53" w:rsidRDefault="00086B53" w:rsidP="00086B53">
      <w:pPr>
        <w:jc w:val="both"/>
        <w:rPr>
          <w:rFonts w:ascii="Cambria" w:hAnsi="Cambria"/>
        </w:rPr>
      </w:pPr>
      <w:r>
        <w:rPr>
          <w:rFonts w:ascii="Cambria" w:hAnsi="Cambria"/>
        </w:rPr>
        <w:t>Il suspend l’ensemble des délais qui s’imposent à l’administration (Polynésie française ; établissements publics administratifs ; autorité administrative indépendante) :</w:t>
      </w:r>
    </w:p>
    <w:p w:rsidR="00086B53" w:rsidRDefault="00086B53" w:rsidP="00086B53">
      <w:pPr>
        <w:jc w:val="both"/>
        <w:rPr>
          <w:rFonts w:ascii="Cambria" w:hAnsi="Cambria"/>
        </w:rPr>
      </w:pPr>
      <w:r>
        <w:rPr>
          <w:rFonts w:ascii="Cambria" w:hAnsi="Cambria"/>
        </w:rPr>
        <w:t>-           pour prendre une décision pendant la période concernée ;</w:t>
      </w:r>
    </w:p>
    <w:p w:rsidR="00086B53" w:rsidRDefault="00086B53" w:rsidP="00086B53">
      <w:pPr>
        <w:jc w:val="both"/>
        <w:rPr>
          <w:rFonts w:ascii="Cambria" w:hAnsi="Cambria"/>
        </w:rPr>
      </w:pPr>
      <w:r>
        <w:rPr>
          <w:rFonts w:ascii="Cambria" w:hAnsi="Cambria"/>
        </w:rPr>
        <w:t xml:space="preserve">-           pour procéder à un contrôle pendant cette même période (sauf lorsque cette obligation résulte d’une décision de justice). </w:t>
      </w:r>
    </w:p>
    <w:p w:rsidR="00086B53" w:rsidRDefault="00086B53" w:rsidP="00086B53">
      <w:pPr>
        <w:jc w:val="both"/>
        <w:rPr>
          <w:rFonts w:ascii="Cambria" w:hAnsi="Cambria"/>
        </w:rPr>
      </w:pPr>
    </w:p>
    <w:p w:rsidR="00086B53" w:rsidRDefault="00086B53" w:rsidP="00086B53">
      <w:pPr>
        <w:jc w:val="both"/>
        <w:rPr>
          <w:rFonts w:ascii="Cambria" w:hAnsi="Cambria"/>
        </w:rPr>
      </w:pPr>
      <w:r>
        <w:rPr>
          <w:rFonts w:ascii="Cambria" w:hAnsi="Cambria"/>
        </w:rPr>
        <w:t>De même, les délais qui auraient dû commencer à courir pendant cette période ne commence à courir qu’à compter de l’achèvement de celle-ci. Un arrêté en Conseil des ministres pourra prévoir des exceptions à ces principes en cas notamment de protection de la santé ou de l’environnement.</w:t>
      </w:r>
    </w:p>
    <w:p w:rsidR="00086B53" w:rsidRDefault="00086B53" w:rsidP="00086B53">
      <w:pPr>
        <w:jc w:val="both"/>
        <w:rPr>
          <w:rFonts w:ascii="Cambria" w:hAnsi="Cambria"/>
        </w:rPr>
      </w:pPr>
    </w:p>
    <w:p w:rsidR="00086B53" w:rsidRDefault="00086B53" w:rsidP="00086B53">
      <w:pPr>
        <w:jc w:val="both"/>
        <w:rPr>
          <w:rFonts w:ascii="Cambria" w:hAnsi="Cambria"/>
        </w:rPr>
      </w:pPr>
      <w:r>
        <w:rPr>
          <w:rFonts w:ascii="Cambria" w:hAnsi="Cambria"/>
        </w:rPr>
        <w:t>De plus, ce texte adapte la procédure civile afin de permettre, autant que possible, le maintien de l’activité des juridictions civiles malgré les mesures d’urgence sanitaire : assouplissement des échanges entre les parties dans le respect du contradictoire, tenue d’audiences par visioconférence.</w:t>
      </w:r>
    </w:p>
    <w:p w:rsidR="00086B53" w:rsidRDefault="00086B53" w:rsidP="00086B53">
      <w:pPr>
        <w:jc w:val="both"/>
        <w:rPr>
          <w:rFonts w:ascii="Cambria" w:hAnsi="Cambria"/>
        </w:rPr>
      </w:pPr>
    </w:p>
    <w:p w:rsidR="00086B53" w:rsidRDefault="00086B53" w:rsidP="00086B53">
      <w:pPr>
        <w:jc w:val="both"/>
        <w:rPr>
          <w:rFonts w:ascii="Cambria" w:hAnsi="Cambria"/>
        </w:rPr>
      </w:pPr>
      <w:r>
        <w:rPr>
          <w:rFonts w:ascii="Cambria" w:hAnsi="Cambria"/>
        </w:rPr>
        <w:t xml:space="preserve">Le dispositif vise aussi à dispenser toutes consultations préalables obligatoires prévues par la réglementation polynésienne lorsque le projet de texte a pour conséquence de prévenir les conséquences de la propagation du </w:t>
      </w:r>
      <w:proofErr w:type="spellStart"/>
      <w:r>
        <w:rPr>
          <w:rFonts w:ascii="Cambria" w:hAnsi="Cambria"/>
        </w:rPr>
        <w:t>covid</w:t>
      </w:r>
      <w:proofErr w:type="spellEnd"/>
      <w:r>
        <w:rPr>
          <w:rFonts w:ascii="Cambria" w:hAnsi="Cambria"/>
        </w:rPr>
        <w:t xml:space="preserve"> 19 ou de répondre à des situations </w:t>
      </w:r>
      <w:r>
        <w:rPr>
          <w:rFonts w:ascii="Cambria" w:hAnsi="Cambria"/>
        </w:rPr>
        <w:lastRenderedPageBreak/>
        <w:t xml:space="preserve">résultant de l'état d'urgence sanitaire. Ces mesures resteront en vigueur jusqu’à l’expiration d’un délai d’un mois à compter de la fin de l’état d’urgence sanitaire. </w:t>
      </w:r>
    </w:p>
    <w:p w:rsidR="003E272C" w:rsidRPr="007732D9" w:rsidRDefault="003E272C" w:rsidP="003E272C"/>
    <w:p w:rsidR="003E272C" w:rsidRPr="009A1547" w:rsidRDefault="003E272C" w:rsidP="009A1547">
      <w:pPr>
        <w:pStyle w:val="-LettreObjetGEDA"/>
        <w:tabs>
          <w:tab w:val="left" w:pos="709"/>
        </w:tabs>
        <w:ind w:left="0" w:firstLine="0"/>
        <w:rPr>
          <w:rFonts w:asciiTheme="majorHAnsi" w:hAnsiTheme="majorHAnsi" w:cs="Calibri"/>
          <w:b/>
        </w:rPr>
      </w:pPr>
      <w:r w:rsidRPr="009A1547">
        <w:rPr>
          <w:rFonts w:asciiTheme="majorHAnsi" w:hAnsiTheme="majorHAnsi"/>
          <w:b/>
        </w:rPr>
        <w:t>Extension des types de masques dont le prix est encadré en tant que produit de première nécessité</w:t>
      </w:r>
    </w:p>
    <w:p w:rsidR="003E272C" w:rsidRPr="009A1547" w:rsidRDefault="003E272C" w:rsidP="009A1547">
      <w:pPr>
        <w:spacing w:before="240"/>
        <w:jc w:val="both"/>
        <w:rPr>
          <w:rFonts w:asciiTheme="majorHAnsi" w:hAnsiTheme="majorHAnsi"/>
        </w:rPr>
      </w:pPr>
      <w:r w:rsidRPr="009A1547">
        <w:rPr>
          <w:rFonts w:asciiTheme="majorHAnsi" w:hAnsiTheme="majorHAnsi"/>
        </w:rPr>
        <w:t xml:space="preserve">Le Conseil des </w:t>
      </w:r>
      <w:r w:rsidR="009A1547">
        <w:rPr>
          <w:rFonts w:asciiTheme="majorHAnsi" w:hAnsiTheme="majorHAnsi"/>
        </w:rPr>
        <w:t>m</w:t>
      </w:r>
      <w:r w:rsidRPr="009A1547">
        <w:rPr>
          <w:rFonts w:asciiTheme="majorHAnsi" w:hAnsiTheme="majorHAnsi"/>
        </w:rPr>
        <w:t>inistres a adopté</w:t>
      </w:r>
      <w:r w:rsidR="009A1547">
        <w:rPr>
          <w:rFonts w:asciiTheme="majorHAnsi" w:hAnsiTheme="majorHAnsi"/>
        </w:rPr>
        <w:t xml:space="preserve"> un </w:t>
      </w:r>
      <w:r w:rsidRPr="009A1547">
        <w:rPr>
          <w:rFonts w:asciiTheme="majorHAnsi" w:hAnsiTheme="majorHAnsi"/>
        </w:rPr>
        <w:t>arrêté</w:t>
      </w:r>
      <w:r w:rsidR="009A1547">
        <w:rPr>
          <w:rFonts w:asciiTheme="majorHAnsi" w:hAnsiTheme="majorHAnsi"/>
        </w:rPr>
        <w:t>,</w:t>
      </w:r>
      <w:r w:rsidRPr="009A1547">
        <w:rPr>
          <w:rFonts w:asciiTheme="majorHAnsi" w:hAnsiTheme="majorHAnsi"/>
        </w:rPr>
        <w:t xml:space="preserve"> le 23 mars dernier, afin d’intégrer les masques, blouses, gants et solutions </w:t>
      </w:r>
      <w:proofErr w:type="spellStart"/>
      <w:r w:rsidRPr="009A1547">
        <w:rPr>
          <w:rFonts w:asciiTheme="majorHAnsi" w:hAnsiTheme="majorHAnsi"/>
        </w:rPr>
        <w:t>hydroalcooliques</w:t>
      </w:r>
      <w:proofErr w:type="spellEnd"/>
      <w:r w:rsidRPr="009A1547">
        <w:rPr>
          <w:rFonts w:asciiTheme="majorHAnsi" w:hAnsiTheme="majorHAnsi"/>
        </w:rPr>
        <w:t xml:space="preserve"> dans la liste des produits de première nécessité. Cet arrêté fixe un régime spécifique d’encadrement du prix et des marges de ces produits.</w:t>
      </w:r>
    </w:p>
    <w:p w:rsidR="003E272C" w:rsidRPr="009A1547" w:rsidRDefault="003E272C" w:rsidP="009A1547">
      <w:pPr>
        <w:spacing w:before="240"/>
        <w:jc w:val="both"/>
        <w:rPr>
          <w:rFonts w:asciiTheme="majorHAnsi" w:hAnsiTheme="majorHAnsi"/>
        </w:rPr>
      </w:pPr>
      <w:r w:rsidRPr="009A1547">
        <w:rPr>
          <w:rFonts w:asciiTheme="majorHAnsi" w:hAnsiTheme="majorHAnsi"/>
        </w:rPr>
        <w:t>Cet encadrement des prix ne concernait, jusqu’à présent, que les produits répondant aux normes reconnues en Polynésie française, c’est-à-dire aux normes françaises, européennes et américaines. En effet, la référence à une norme reconnue garantit la qualité et la sécurité du produit.</w:t>
      </w:r>
    </w:p>
    <w:p w:rsidR="003E272C" w:rsidRPr="009A1547" w:rsidRDefault="003E272C" w:rsidP="009A1547">
      <w:pPr>
        <w:spacing w:before="240"/>
        <w:jc w:val="both"/>
        <w:rPr>
          <w:rFonts w:asciiTheme="majorHAnsi" w:hAnsiTheme="majorHAnsi"/>
        </w:rPr>
      </w:pPr>
      <w:r w:rsidRPr="009A1547">
        <w:rPr>
          <w:rFonts w:asciiTheme="majorHAnsi" w:hAnsiTheme="majorHAnsi"/>
        </w:rPr>
        <w:t>Cependant, dans le contexte actuel, la forte demande de masques, au niveau mondial, ne permet plus à la Polynésie française, comme d’ailleurs aux autres pays actuellement touchés par la pandémie, de s’approvisionner en masques répondant à ces normes.</w:t>
      </w:r>
    </w:p>
    <w:p w:rsidR="003E272C" w:rsidRPr="009A1547" w:rsidRDefault="003E272C" w:rsidP="009A1547">
      <w:pPr>
        <w:spacing w:before="240"/>
        <w:jc w:val="both"/>
        <w:rPr>
          <w:rFonts w:asciiTheme="majorHAnsi" w:hAnsiTheme="majorHAnsi"/>
        </w:rPr>
      </w:pPr>
      <w:r w:rsidRPr="009A1547">
        <w:rPr>
          <w:rFonts w:asciiTheme="majorHAnsi" w:hAnsiTheme="majorHAnsi"/>
        </w:rPr>
        <w:t xml:space="preserve">De ce fait, pour garantir que les masques répondant à d’autres normes, et notamment aux normes chinoises, ne soient pas mis sur le marché en Polynésie française à des prix libres, et donc très probablement élevés, le Conseil des </w:t>
      </w:r>
      <w:r w:rsidR="009A1547">
        <w:rPr>
          <w:rFonts w:asciiTheme="majorHAnsi" w:hAnsiTheme="majorHAnsi"/>
        </w:rPr>
        <w:t>m</w:t>
      </w:r>
      <w:r w:rsidRPr="009A1547">
        <w:rPr>
          <w:rFonts w:asciiTheme="majorHAnsi" w:hAnsiTheme="majorHAnsi"/>
        </w:rPr>
        <w:t>inistres a étendu aux masques relevant des normes chinoises, japonaises, coréennes et australiennes, l’ensemble des dispositions d’encadrement des prix et des marges.</w:t>
      </w:r>
    </w:p>
    <w:p w:rsidR="003E272C" w:rsidRPr="009A1547" w:rsidRDefault="003E272C" w:rsidP="009A1547">
      <w:pPr>
        <w:spacing w:before="240"/>
        <w:jc w:val="both"/>
        <w:rPr>
          <w:rFonts w:asciiTheme="majorHAnsi" w:hAnsiTheme="majorHAnsi"/>
        </w:rPr>
      </w:pPr>
      <w:r w:rsidRPr="009A1547">
        <w:rPr>
          <w:rFonts w:asciiTheme="majorHAnsi" w:hAnsiTheme="majorHAnsi"/>
        </w:rPr>
        <w:t>Pour garantir la qualité et la sécurité de ces produits, l’arrêté exige que les importateurs fournissent, dans un délai de deux mois à compter de l’importation, une documentation technique permettant aux agents de contrôle d’évaluer la conformité des produits avec la norme invoquée lors de l’importation.</w:t>
      </w:r>
    </w:p>
    <w:p w:rsidR="003E272C" w:rsidRPr="009A1547" w:rsidRDefault="003E272C" w:rsidP="009A1547">
      <w:pPr>
        <w:spacing w:before="240"/>
        <w:jc w:val="both"/>
        <w:rPr>
          <w:rFonts w:asciiTheme="majorHAnsi" w:hAnsiTheme="majorHAnsi"/>
        </w:rPr>
      </w:pPr>
      <w:r w:rsidRPr="009A1547">
        <w:rPr>
          <w:rFonts w:asciiTheme="majorHAnsi" w:hAnsiTheme="majorHAnsi"/>
        </w:rPr>
        <w:t xml:space="preserve">Les produits qui ne répondraient finalement pas aux normes invoquées se verront retirer le bénéfice des exonérations de taxes douanières dont ils ont </w:t>
      </w:r>
      <w:r w:rsidR="009A1547">
        <w:rPr>
          <w:rFonts w:asciiTheme="majorHAnsi" w:hAnsiTheme="majorHAnsi"/>
        </w:rPr>
        <w:t xml:space="preserve">pu </w:t>
      </w:r>
      <w:r w:rsidRPr="009A1547">
        <w:rPr>
          <w:rFonts w:asciiTheme="majorHAnsi" w:hAnsiTheme="majorHAnsi"/>
        </w:rPr>
        <w:t>bénéfici</w:t>
      </w:r>
      <w:r w:rsidR="009A1547">
        <w:rPr>
          <w:rFonts w:asciiTheme="majorHAnsi" w:hAnsiTheme="majorHAnsi"/>
        </w:rPr>
        <w:t>er</w:t>
      </w:r>
      <w:r w:rsidRPr="009A1547">
        <w:rPr>
          <w:rFonts w:asciiTheme="majorHAnsi" w:hAnsiTheme="majorHAnsi"/>
        </w:rPr>
        <w:t xml:space="preserve">. Les importateurs encourent également une amende de 4 474 000 </w:t>
      </w:r>
      <w:proofErr w:type="spellStart"/>
      <w:r w:rsidRPr="009A1547">
        <w:rPr>
          <w:rFonts w:asciiTheme="majorHAnsi" w:hAnsiTheme="majorHAnsi"/>
        </w:rPr>
        <w:t>F</w:t>
      </w:r>
      <w:r w:rsidR="009A1547">
        <w:rPr>
          <w:rFonts w:asciiTheme="majorHAnsi" w:hAnsiTheme="majorHAnsi"/>
        </w:rPr>
        <w:t>cfp</w:t>
      </w:r>
      <w:proofErr w:type="spellEnd"/>
      <w:r w:rsidRPr="009A1547">
        <w:rPr>
          <w:rFonts w:asciiTheme="majorHAnsi" w:hAnsiTheme="majorHAnsi"/>
        </w:rPr>
        <w:t xml:space="preserve"> et 2 ans d’emprisonnement au titre de la tromperie sur les qualités substantielles, peine portée au double si le délit a rendu l’utilisation du produit dangereuse pour l’homme.</w:t>
      </w:r>
    </w:p>
    <w:p w:rsidR="003E272C" w:rsidRPr="009A1547" w:rsidRDefault="003E272C" w:rsidP="009A1547">
      <w:pPr>
        <w:spacing w:before="240"/>
        <w:jc w:val="both"/>
        <w:rPr>
          <w:rFonts w:asciiTheme="majorHAnsi" w:hAnsiTheme="majorHAnsi"/>
        </w:rPr>
      </w:pPr>
      <w:r w:rsidRPr="009A1547">
        <w:rPr>
          <w:rFonts w:asciiTheme="majorHAnsi" w:hAnsiTheme="majorHAnsi"/>
        </w:rPr>
        <w:t>Il convient donc d’être particulièrement vigilant aux qualités et normes dont les vendeurs peuvent faire état : le respect d’une norme reconnue permet à l’utilisateur de bénéficier à la fois d’un prix encadré et d’un gage de qualité.</w:t>
      </w:r>
    </w:p>
    <w:p w:rsidR="0021634E" w:rsidRDefault="0021634E" w:rsidP="0021634E">
      <w:pPr>
        <w:pStyle w:val="-LettreObjetGEDA"/>
        <w:tabs>
          <w:tab w:val="left" w:pos="709"/>
        </w:tabs>
        <w:ind w:left="0" w:firstLine="0"/>
        <w:rPr>
          <w:rFonts w:ascii="Cambria" w:hAnsi="Cambria"/>
          <w:lang w:eastAsia="en-US"/>
        </w:rPr>
      </w:pPr>
    </w:p>
    <w:p w:rsidR="0021634E" w:rsidRPr="0021634E" w:rsidRDefault="0021634E" w:rsidP="0021634E">
      <w:pPr>
        <w:pStyle w:val="-LettreObjetGEDA"/>
        <w:tabs>
          <w:tab w:val="left" w:pos="709"/>
        </w:tabs>
        <w:ind w:left="0" w:firstLine="0"/>
        <w:rPr>
          <w:rFonts w:asciiTheme="majorHAnsi" w:hAnsiTheme="majorHAnsi"/>
          <w:b/>
          <w:noProof w:val="0"/>
        </w:rPr>
      </w:pPr>
      <w:r w:rsidRPr="0021634E">
        <w:rPr>
          <w:rFonts w:asciiTheme="majorHAnsi" w:hAnsiTheme="majorHAnsi"/>
          <w:b/>
          <w:noProof w:val="0"/>
        </w:rPr>
        <w:t>Modifications pour les zones de pêches réglementées de Papara et Teva I Uta</w:t>
      </w:r>
    </w:p>
    <w:p w:rsidR="0021634E" w:rsidRPr="0021634E" w:rsidRDefault="0021634E" w:rsidP="0021634E">
      <w:pPr>
        <w:pStyle w:val="-LettreSuiteORefPJGEDA"/>
        <w:rPr>
          <w:rFonts w:asciiTheme="majorHAnsi" w:hAnsiTheme="majorHAnsi"/>
          <w:noProof w:val="0"/>
        </w:rPr>
      </w:pPr>
    </w:p>
    <w:p w:rsidR="0021634E" w:rsidRPr="0021634E" w:rsidRDefault="0021634E" w:rsidP="0021634E">
      <w:pPr>
        <w:pStyle w:val="-LettreTexteGEDA"/>
        <w:ind w:firstLine="0"/>
        <w:rPr>
          <w:rFonts w:asciiTheme="majorHAnsi" w:hAnsiTheme="majorHAnsi"/>
          <w:noProof w:val="0"/>
        </w:rPr>
      </w:pPr>
      <w:r w:rsidRPr="0021634E">
        <w:rPr>
          <w:rFonts w:asciiTheme="majorHAnsi" w:hAnsiTheme="majorHAnsi"/>
          <w:noProof w:val="0"/>
        </w:rPr>
        <w:t xml:space="preserve">Le Conseil des ministres a approuvé la modification des arrêtés de classement de deux Zones de Pêche Réglementée (ZPR) dénommées « ZPR de </w:t>
      </w:r>
      <w:proofErr w:type="spellStart"/>
      <w:r w:rsidRPr="0021634E">
        <w:rPr>
          <w:rFonts w:asciiTheme="majorHAnsi" w:hAnsiTheme="majorHAnsi"/>
          <w:noProof w:val="0"/>
        </w:rPr>
        <w:t>Atimaono</w:t>
      </w:r>
      <w:proofErr w:type="spellEnd"/>
      <w:r w:rsidRPr="0021634E">
        <w:rPr>
          <w:rFonts w:asciiTheme="majorHAnsi" w:hAnsiTheme="majorHAnsi"/>
          <w:noProof w:val="0"/>
        </w:rPr>
        <w:t xml:space="preserve"> »  et « </w:t>
      </w:r>
      <w:proofErr w:type="spellStart"/>
      <w:r w:rsidRPr="0021634E">
        <w:rPr>
          <w:rFonts w:asciiTheme="majorHAnsi" w:hAnsiTheme="majorHAnsi"/>
          <w:noProof w:val="0"/>
        </w:rPr>
        <w:t>Rahui</w:t>
      </w:r>
      <w:proofErr w:type="spellEnd"/>
      <w:r w:rsidRPr="0021634E">
        <w:rPr>
          <w:rFonts w:asciiTheme="majorHAnsi" w:hAnsiTheme="majorHAnsi"/>
          <w:noProof w:val="0"/>
        </w:rPr>
        <w:t xml:space="preserve"> no </w:t>
      </w:r>
      <w:proofErr w:type="spellStart"/>
      <w:r w:rsidRPr="0021634E">
        <w:rPr>
          <w:rFonts w:asciiTheme="majorHAnsi" w:hAnsiTheme="majorHAnsi"/>
          <w:noProof w:val="0"/>
        </w:rPr>
        <w:t>Patere</w:t>
      </w:r>
      <w:proofErr w:type="spellEnd"/>
      <w:r w:rsidRPr="0021634E">
        <w:rPr>
          <w:rFonts w:asciiTheme="majorHAnsi" w:hAnsiTheme="majorHAnsi"/>
          <w:noProof w:val="0"/>
        </w:rPr>
        <w:t xml:space="preserve"> » au droit des communes de Papara et Teva I Uta. </w:t>
      </w:r>
    </w:p>
    <w:p w:rsidR="0021634E" w:rsidRPr="0021634E" w:rsidRDefault="0021634E" w:rsidP="0021634E">
      <w:pPr>
        <w:pStyle w:val="-LettreTexteGEDA"/>
        <w:ind w:firstLine="0"/>
        <w:rPr>
          <w:rFonts w:asciiTheme="majorHAnsi" w:hAnsiTheme="majorHAnsi"/>
          <w:noProof w:val="0"/>
        </w:rPr>
      </w:pPr>
      <w:r w:rsidRPr="0021634E">
        <w:rPr>
          <w:rFonts w:asciiTheme="majorHAnsi" w:hAnsiTheme="majorHAnsi"/>
          <w:noProof w:val="0"/>
        </w:rPr>
        <w:lastRenderedPageBreak/>
        <w:t>Conformément aux propositions des membres des comités de gestion de chacune des ZPR, les modifications suivantes ont été apportées aux arrêtés de classement :</w:t>
      </w:r>
    </w:p>
    <w:p w:rsidR="0021634E" w:rsidRPr="0021634E" w:rsidRDefault="0021634E" w:rsidP="0021634E">
      <w:pPr>
        <w:pStyle w:val="-LettreTexteGEDA"/>
        <w:ind w:firstLine="0"/>
        <w:rPr>
          <w:rFonts w:asciiTheme="majorHAnsi" w:hAnsiTheme="majorHAnsi"/>
          <w:noProof w:val="0"/>
        </w:rPr>
      </w:pPr>
      <w:r w:rsidRPr="0021634E">
        <w:rPr>
          <w:rFonts w:asciiTheme="majorHAnsi" w:hAnsiTheme="majorHAnsi"/>
          <w:noProof w:val="0"/>
        </w:rPr>
        <w:t xml:space="preserve">-Les campagnes de ramassage et de pêche d’espèces envahissantes, telle que l’étoile de mer </w:t>
      </w:r>
      <w:r w:rsidRPr="0021634E">
        <w:rPr>
          <w:rFonts w:asciiTheme="majorHAnsi" w:hAnsiTheme="majorHAnsi"/>
          <w:i/>
          <w:noProof w:val="0"/>
        </w:rPr>
        <w:t xml:space="preserve">Acanthaster </w:t>
      </w:r>
      <w:proofErr w:type="spellStart"/>
      <w:r w:rsidRPr="0021634E">
        <w:rPr>
          <w:rFonts w:asciiTheme="majorHAnsi" w:hAnsiTheme="majorHAnsi"/>
          <w:i/>
          <w:noProof w:val="0"/>
        </w:rPr>
        <w:t>planci</w:t>
      </w:r>
      <w:proofErr w:type="spellEnd"/>
      <w:r w:rsidRPr="0021634E">
        <w:rPr>
          <w:rFonts w:asciiTheme="majorHAnsi" w:hAnsiTheme="majorHAnsi"/>
          <w:noProof w:val="0"/>
        </w:rPr>
        <w:t xml:space="preserve"> (</w:t>
      </w:r>
      <w:proofErr w:type="spellStart"/>
      <w:r w:rsidRPr="0021634E">
        <w:rPr>
          <w:rFonts w:asciiTheme="majorHAnsi" w:hAnsiTheme="majorHAnsi"/>
          <w:noProof w:val="0"/>
        </w:rPr>
        <w:t>taramea</w:t>
      </w:r>
      <w:proofErr w:type="spellEnd"/>
      <w:r w:rsidRPr="0021634E">
        <w:rPr>
          <w:rFonts w:asciiTheme="majorHAnsi" w:hAnsiTheme="majorHAnsi"/>
          <w:noProof w:val="0"/>
        </w:rPr>
        <w:t xml:space="preserve">), organisée par les comités de gestion, sont dorénavant autorisées dans les deux ZPR. </w:t>
      </w:r>
    </w:p>
    <w:p w:rsidR="0021634E" w:rsidRPr="0021634E" w:rsidRDefault="0021634E" w:rsidP="0021634E">
      <w:pPr>
        <w:pStyle w:val="-LettreTexteGEDA"/>
        <w:ind w:firstLine="0"/>
        <w:rPr>
          <w:rFonts w:asciiTheme="majorHAnsi" w:hAnsiTheme="majorHAnsi"/>
          <w:noProof w:val="0"/>
        </w:rPr>
      </w:pPr>
      <w:r w:rsidRPr="0021634E">
        <w:rPr>
          <w:rFonts w:asciiTheme="majorHAnsi" w:hAnsiTheme="majorHAnsi"/>
          <w:noProof w:val="0"/>
        </w:rPr>
        <w:t>-En accord avec les discussions avec la population de Papara, le « </w:t>
      </w:r>
      <w:proofErr w:type="spellStart"/>
      <w:r w:rsidRPr="0021634E">
        <w:rPr>
          <w:rFonts w:asciiTheme="majorHAnsi" w:hAnsiTheme="majorHAnsi"/>
          <w:i/>
          <w:noProof w:val="0"/>
        </w:rPr>
        <w:t>Rahui</w:t>
      </w:r>
      <w:proofErr w:type="spellEnd"/>
      <w:r w:rsidRPr="0021634E">
        <w:rPr>
          <w:rFonts w:asciiTheme="majorHAnsi" w:hAnsiTheme="majorHAnsi"/>
          <w:i/>
          <w:noProof w:val="0"/>
        </w:rPr>
        <w:t xml:space="preserve"> no </w:t>
      </w:r>
      <w:proofErr w:type="spellStart"/>
      <w:r w:rsidRPr="0021634E">
        <w:rPr>
          <w:rFonts w:asciiTheme="majorHAnsi" w:hAnsiTheme="majorHAnsi"/>
          <w:i/>
          <w:noProof w:val="0"/>
        </w:rPr>
        <w:t>Patere</w:t>
      </w:r>
      <w:proofErr w:type="spellEnd"/>
      <w:r w:rsidRPr="0021634E">
        <w:rPr>
          <w:rFonts w:asciiTheme="majorHAnsi" w:hAnsiTheme="majorHAnsi"/>
          <w:noProof w:val="0"/>
        </w:rPr>
        <w:t> » est renommé « </w:t>
      </w:r>
      <w:proofErr w:type="spellStart"/>
      <w:r w:rsidRPr="0021634E">
        <w:rPr>
          <w:rFonts w:asciiTheme="majorHAnsi" w:hAnsiTheme="majorHAnsi"/>
          <w:i/>
          <w:noProof w:val="0"/>
        </w:rPr>
        <w:t>Rahui</w:t>
      </w:r>
      <w:proofErr w:type="spellEnd"/>
      <w:r w:rsidRPr="0021634E">
        <w:rPr>
          <w:rFonts w:asciiTheme="majorHAnsi" w:hAnsiTheme="majorHAnsi"/>
          <w:i/>
          <w:noProof w:val="0"/>
        </w:rPr>
        <w:t xml:space="preserve"> no </w:t>
      </w:r>
      <w:proofErr w:type="spellStart"/>
      <w:r w:rsidRPr="0021634E">
        <w:rPr>
          <w:rFonts w:asciiTheme="majorHAnsi" w:hAnsiTheme="majorHAnsi"/>
          <w:i/>
          <w:noProof w:val="0"/>
        </w:rPr>
        <w:t>Patere</w:t>
      </w:r>
      <w:proofErr w:type="spellEnd"/>
      <w:r w:rsidRPr="0021634E">
        <w:rPr>
          <w:rFonts w:asciiTheme="majorHAnsi" w:hAnsiTheme="majorHAnsi"/>
          <w:i/>
          <w:noProof w:val="0"/>
        </w:rPr>
        <w:t xml:space="preserve"> i Papara</w:t>
      </w:r>
      <w:r w:rsidRPr="0021634E">
        <w:rPr>
          <w:rFonts w:asciiTheme="majorHAnsi" w:hAnsiTheme="majorHAnsi"/>
          <w:noProof w:val="0"/>
        </w:rPr>
        <w:t xml:space="preserve"> » et ses limites sont déplacées, permettant à la ZPR de passer d’une superficie de 166 à 315 hectares. </w:t>
      </w:r>
    </w:p>
    <w:p w:rsidR="0021634E" w:rsidRDefault="0021634E" w:rsidP="003E272C">
      <w:pPr>
        <w:pStyle w:val="-LettreTexteGEDA"/>
        <w:ind w:firstLine="0"/>
        <w:rPr>
          <w:rFonts w:asciiTheme="majorHAnsi" w:hAnsiTheme="majorHAnsi"/>
          <w:noProof w:val="0"/>
        </w:rPr>
      </w:pPr>
    </w:p>
    <w:p w:rsidR="0021634E" w:rsidRDefault="0021634E" w:rsidP="003E272C">
      <w:pPr>
        <w:pStyle w:val="-LettreTexteGEDA"/>
        <w:ind w:firstLine="0"/>
        <w:rPr>
          <w:rFonts w:asciiTheme="majorHAnsi" w:hAnsiTheme="majorHAnsi"/>
          <w:noProof w:val="0"/>
        </w:rPr>
      </w:pPr>
    </w:p>
    <w:p w:rsidR="0021634E" w:rsidRPr="0021634E" w:rsidRDefault="0021634E" w:rsidP="0021634E">
      <w:pPr>
        <w:pStyle w:val="-LettreTexteGEDA"/>
        <w:spacing w:before="0"/>
        <w:ind w:firstLine="0"/>
        <w:rPr>
          <w:rFonts w:ascii="Cambria" w:hAnsi="Cambria"/>
          <w:b/>
        </w:rPr>
      </w:pPr>
      <w:r w:rsidRPr="0021634E">
        <w:rPr>
          <w:rFonts w:ascii="Cambria" w:hAnsi="Cambria"/>
          <w:b/>
          <w:bCs/>
        </w:rPr>
        <w:t>F</w:t>
      </w:r>
      <w:r w:rsidRPr="0021634E">
        <w:rPr>
          <w:rFonts w:ascii="Cambria" w:hAnsi="Cambria"/>
          <w:b/>
        </w:rPr>
        <w:t>avoriser le développement de la facturation électronique</w:t>
      </w:r>
    </w:p>
    <w:p w:rsidR="0021634E" w:rsidRPr="0021634E" w:rsidRDefault="0021634E" w:rsidP="0021634E">
      <w:pPr>
        <w:pStyle w:val="-LettreTexteGEDA"/>
        <w:spacing w:before="0"/>
        <w:ind w:firstLine="0"/>
        <w:jc w:val="center"/>
        <w:rPr>
          <w:rFonts w:ascii="Cambria" w:hAnsi="Cambria"/>
        </w:rPr>
      </w:pPr>
    </w:p>
    <w:p w:rsidR="0021634E" w:rsidRPr="0021634E" w:rsidRDefault="0021634E" w:rsidP="0021634E">
      <w:pPr>
        <w:pStyle w:val="-LettreTexteGEDA"/>
        <w:spacing w:before="240"/>
        <w:ind w:firstLine="0"/>
        <w:rPr>
          <w:rFonts w:ascii="Cambria" w:hAnsi="Cambria"/>
          <w:lang w:eastAsia="en-US"/>
        </w:rPr>
      </w:pPr>
      <w:r w:rsidRPr="0021634E">
        <w:rPr>
          <w:rFonts w:ascii="Cambria" w:hAnsi="Cambria"/>
          <w:lang w:eastAsia="en-US"/>
        </w:rPr>
        <w:t>Le Vice-président de la Polynésie française a présenté au Conseil des ministres l’arrêté d’application permettant de mettre en œuvre la mesure en faveur de la facturation électronique qu’il avait porté devant l’Assemblée de la Polynésie française en fin d’année dernière.</w:t>
      </w:r>
    </w:p>
    <w:p w:rsidR="0021634E" w:rsidRPr="0021634E" w:rsidRDefault="0021634E" w:rsidP="0021634E">
      <w:pPr>
        <w:pStyle w:val="-LettreTexteGEDA"/>
        <w:spacing w:before="240"/>
        <w:ind w:firstLine="0"/>
        <w:rPr>
          <w:rFonts w:ascii="Cambria" w:hAnsi="Cambria"/>
          <w:lang w:eastAsia="en-US"/>
        </w:rPr>
      </w:pPr>
      <w:r w:rsidRPr="0021634E">
        <w:rPr>
          <w:rFonts w:ascii="Cambria" w:hAnsi="Cambria"/>
          <w:lang w:eastAsia="en-US"/>
        </w:rPr>
        <w:t>Cet arrêté permettra à chaque entreprise, qui a déjà recours à la facturation électronique ou qu’elle souhaite la mettre en place, de disposer d’un cadre juridique clair et exhaustif, lui apportant ainsi une plus grande sécurité juridique dans le cadre de ses échanges avec l’administration fiscale.</w:t>
      </w:r>
    </w:p>
    <w:p w:rsidR="0021634E" w:rsidRPr="0021634E" w:rsidRDefault="0021634E" w:rsidP="0021634E">
      <w:pPr>
        <w:pStyle w:val="-DiversLigneinvisibleGEDA"/>
        <w:rPr>
          <w:rFonts w:asciiTheme="majorHAnsi" w:hAnsiTheme="majorHAnsi"/>
        </w:rPr>
      </w:pPr>
    </w:p>
    <w:p w:rsidR="0021634E" w:rsidRPr="0021634E" w:rsidRDefault="0021634E" w:rsidP="0021634E">
      <w:pPr>
        <w:pStyle w:val="Titre"/>
        <w:rPr>
          <w:rFonts w:asciiTheme="majorHAnsi" w:eastAsia="Arial Unicode MS" w:hAnsiTheme="majorHAnsi"/>
          <w:sz w:val="2"/>
        </w:rPr>
      </w:pPr>
    </w:p>
    <w:p w:rsidR="0021634E" w:rsidRDefault="0021634E" w:rsidP="003E272C">
      <w:pPr>
        <w:pStyle w:val="-LettreTexteGEDA"/>
        <w:ind w:firstLine="0"/>
        <w:rPr>
          <w:rFonts w:asciiTheme="majorHAnsi" w:hAnsiTheme="majorHAnsi"/>
          <w:noProof w:val="0"/>
        </w:rPr>
      </w:pPr>
    </w:p>
    <w:p w:rsidR="009A1547" w:rsidRDefault="009A1547" w:rsidP="003E272C">
      <w:pPr>
        <w:pStyle w:val="-LettreTexteGEDA"/>
        <w:ind w:firstLine="0"/>
        <w:rPr>
          <w:rFonts w:ascii="Cambria" w:hAnsi="Cambria"/>
          <w:b/>
          <w:noProof w:val="0"/>
          <w:szCs w:val="24"/>
        </w:rPr>
      </w:pPr>
      <w:r w:rsidRPr="009A1547">
        <w:rPr>
          <w:rFonts w:ascii="Cambria" w:hAnsi="Cambria"/>
          <w:b/>
          <w:noProof w:val="0"/>
          <w:szCs w:val="24"/>
        </w:rPr>
        <w:t>Indice des prix, du BTP et des hybrides</w:t>
      </w:r>
    </w:p>
    <w:p w:rsidR="009A1547" w:rsidRPr="009A1547" w:rsidRDefault="009A1547" w:rsidP="003E272C">
      <w:pPr>
        <w:pStyle w:val="-LettreTexteGEDA"/>
        <w:ind w:firstLine="0"/>
        <w:rPr>
          <w:rFonts w:ascii="Cambria" w:hAnsi="Cambria"/>
          <w:b/>
          <w:noProof w:val="0"/>
          <w:szCs w:val="24"/>
        </w:rPr>
      </w:pPr>
    </w:p>
    <w:p w:rsidR="003E272C" w:rsidRPr="009A1547" w:rsidRDefault="009A1547" w:rsidP="009A1547">
      <w:pPr>
        <w:pStyle w:val="-LettreTexteGEDA"/>
        <w:spacing w:after="360"/>
        <w:ind w:firstLine="0"/>
        <w:rPr>
          <w:rFonts w:ascii="Cambria" w:hAnsi="Cambria"/>
          <w:bCs/>
          <w:szCs w:val="24"/>
        </w:rPr>
      </w:pPr>
      <w:r>
        <w:rPr>
          <w:rFonts w:ascii="Cambria" w:hAnsi="Cambria"/>
          <w:bCs/>
          <w:szCs w:val="24"/>
        </w:rPr>
        <w:t>En mars</w:t>
      </w:r>
      <w:r w:rsidR="003E272C" w:rsidRPr="009A1547">
        <w:rPr>
          <w:rFonts w:ascii="Cambria" w:hAnsi="Cambria"/>
          <w:bCs/>
          <w:szCs w:val="24"/>
        </w:rPr>
        <w:t xml:space="preserve">, l'indice des prix à la consommation augmente de 0,3 % et s'établit à 99,91, essentiellement en raison de la hausse des prix de 2,7 % dans la division Produits alimentaires, de 1,3 % dans la division Boissons alcoolisées et de 0,3 % dans la division Logement, eau, électricité, gaz et autres combustibles. </w:t>
      </w:r>
    </w:p>
    <w:p w:rsidR="003E272C" w:rsidRPr="009A1547" w:rsidRDefault="003E272C" w:rsidP="009A1547">
      <w:pPr>
        <w:pStyle w:val="-LettreTexteGEDA"/>
        <w:spacing w:after="360"/>
        <w:ind w:firstLine="0"/>
        <w:rPr>
          <w:rFonts w:ascii="Cambria" w:hAnsi="Cambria"/>
          <w:bCs/>
          <w:szCs w:val="24"/>
        </w:rPr>
      </w:pPr>
      <w:r w:rsidRPr="009A1547">
        <w:rPr>
          <w:rFonts w:ascii="Cambria" w:hAnsi="Cambria"/>
          <w:bCs/>
          <w:szCs w:val="24"/>
        </w:rPr>
        <w:t xml:space="preserve">Sur douze mois, l'indice général des prix à la consommation augmente de 0,9 %. L’indice ouvrier augmente de 0,2 % en mars 2020. Il progresse de 1,8 % en glissement sur douze mois. L'indice général hors Transport aérien international progresse de 0,2 % en mars 2020. Il est en hausse de 0,9 % en glissement sur douze mois. </w:t>
      </w:r>
    </w:p>
    <w:p w:rsidR="003E272C" w:rsidRPr="009A1547" w:rsidRDefault="003E272C" w:rsidP="009A1547">
      <w:pPr>
        <w:pStyle w:val="-LettreTexteGEDA"/>
        <w:spacing w:before="240"/>
        <w:ind w:firstLine="0"/>
        <w:rPr>
          <w:rFonts w:ascii="Cambria" w:hAnsi="Cambria"/>
          <w:szCs w:val="24"/>
        </w:rPr>
      </w:pPr>
      <w:r w:rsidRPr="009A1547">
        <w:rPr>
          <w:rFonts w:ascii="Cambria" w:hAnsi="Cambria"/>
          <w:szCs w:val="24"/>
        </w:rPr>
        <w:t xml:space="preserve">En mars </w:t>
      </w:r>
      <w:r w:rsidR="009A1547">
        <w:rPr>
          <w:rFonts w:ascii="Cambria" w:hAnsi="Cambria"/>
          <w:szCs w:val="24"/>
        </w:rPr>
        <w:t>également</w:t>
      </w:r>
      <w:r w:rsidRPr="009A1547">
        <w:rPr>
          <w:rFonts w:ascii="Cambria" w:hAnsi="Cambria"/>
          <w:szCs w:val="24"/>
        </w:rPr>
        <w:t xml:space="preserve">, l'index du Bâtiment et des Travaux Publics (BTP) augmente de 0,8 % et s'établit à 109,91. Cette évolution est liée à la hausse de 1,6 % des tarifs des services, de 1,8 % des prix des matériaux végétaux et de 1,7 % des prix des matériaux chimiques. </w:t>
      </w:r>
    </w:p>
    <w:p w:rsidR="003E272C" w:rsidRPr="009A1547" w:rsidRDefault="003E272C" w:rsidP="009A1547">
      <w:pPr>
        <w:pStyle w:val="-LettreTexteGEDA"/>
        <w:spacing w:before="240"/>
        <w:ind w:firstLine="0"/>
        <w:rPr>
          <w:rFonts w:ascii="Cambria" w:hAnsi="Cambria"/>
          <w:szCs w:val="24"/>
        </w:rPr>
      </w:pPr>
      <w:r w:rsidRPr="009A1547">
        <w:rPr>
          <w:rFonts w:ascii="Cambria" w:hAnsi="Cambria"/>
          <w:szCs w:val="24"/>
        </w:rPr>
        <w:t xml:space="preserve">Dans le Bâtiment, l'index du Gros Œuvre augmente de 0,6 % et celui du Second Œuvre </w:t>
      </w:r>
      <w:r w:rsidR="009A1547">
        <w:rPr>
          <w:rFonts w:ascii="Cambria" w:hAnsi="Cambria"/>
          <w:szCs w:val="24"/>
        </w:rPr>
        <w:t xml:space="preserve">de 0,4 %. </w:t>
      </w:r>
      <w:r w:rsidRPr="009A1547">
        <w:rPr>
          <w:rFonts w:ascii="Cambria" w:hAnsi="Cambria"/>
          <w:szCs w:val="24"/>
        </w:rPr>
        <w:t>Dans les Travaux Publics, l'index du Génie Civil progresse de 1,2 % et celui des Travaux Spécialisés de 0,6 %.</w:t>
      </w:r>
      <w:r w:rsidR="009A1547">
        <w:rPr>
          <w:rFonts w:ascii="Cambria" w:hAnsi="Cambria"/>
          <w:szCs w:val="24"/>
        </w:rPr>
        <w:t xml:space="preserve"> </w:t>
      </w:r>
      <w:r w:rsidRPr="009A1547">
        <w:rPr>
          <w:rFonts w:ascii="Cambria" w:hAnsi="Cambria"/>
          <w:szCs w:val="24"/>
        </w:rPr>
        <w:t xml:space="preserve">Sur 12 mois, l'index général du BTP est en hausse de 1,5 % ; l'index du Bâtiment croît de 1,3 % et celui des Travaux Publics de 1,6 %. </w:t>
      </w:r>
    </w:p>
    <w:p w:rsidR="009A1547" w:rsidRDefault="009A1547" w:rsidP="003E272C">
      <w:pPr>
        <w:pStyle w:val="-LettreSuiteORefPJGEDA"/>
        <w:ind w:left="0"/>
        <w:rPr>
          <w:rFonts w:ascii="Cambria" w:hAnsi="Cambria"/>
          <w:szCs w:val="24"/>
        </w:rPr>
      </w:pPr>
    </w:p>
    <w:p w:rsidR="003E272C" w:rsidRPr="009A1547" w:rsidRDefault="009A1547" w:rsidP="003E272C">
      <w:pPr>
        <w:pStyle w:val="-LettreSuiteORefPJGEDA"/>
        <w:ind w:left="0"/>
        <w:rPr>
          <w:rFonts w:ascii="Cambria" w:hAnsi="Cambria"/>
          <w:szCs w:val="24"/>
        </w:rPr>
      </w:pPr>
      <w:r>
        <w:rPr>
          <w:rFonts w:ascii="Cambria" w:hAnsi="Cambria"/>
          <w:szCs w:val="24"/>
        </w:rPr>
        <w:lastRenderedPageBreak/>
        <w:t xml:space="preserve">Toujours pour le mois de </w:t>
      </w:r>
      <w:r w:rsidR="003E272C" w:rsidRPr="009A1547">
        <w:rPr>
          <w:rFonts w:ascii="Cambria" w:hAnsi="Cambria"/>
          <w:szCs w:val="24"/>
        </w:rPr>
        <w:t>mars, les index hybrides prennent les valeurs suivantes (base 100 en décembre 2010) :</w:t>
      </w:r>
    </w:p>
    <w:p w:rsidR="003E272C" w:rsidRPr="009A1547" w:rsidRDefault="003E272C" w:rsidP="003E272C">
      <w:pPr>
        <w:pStyle w:val="-LettreTexteGEDA"/>
        <w:rPr>
          <w:rFonts w:ascii="Cambria" w:hAnsi="Cambria"/>
          <w:szCs w:val="24"/>
        </w:rPr>
      </w:pPr>
    </w:p>
    <w:tbl>
      <w:tblPr>
        <w:tblW w:w="9634" w:type="dxa"/>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5665"/>
        <w:gridCol w:w="1276"/>
        <w:gridCol w:w="1309"/>
        <w:gridCol w:w="1384"/>
      </w:tblGrid>
      <w:tr w:rsidR="003E272C" w:rsidRPr="009A1547" w:rsidTr="00175519">
        <w:trPr>
          <w:trHeight w:val="315"/>
        </w:trPr>
        <w:tc>
          <w:tcPr>
            <w:tcW w:w="5665" w:type="dxa"/>
            <w:vMerge w:val="restart"/>
            <w:tcBorders>
              <w:top w:val="dotted" w:sz="4" w:space="0" w:color="auto"/>
              <w:left w:val="dotted" w:sz="4" w:space="0" w:color="auto"/>
              <w:bottom w:val="dotted" w:sz="4" w:space="0" w:color="auto"/>
              <w:right w:val="dotted" w:sz="4" w:space="0" w:color="auto"/>
            </w:tcBorders>
            <w:noWrap/>
            <w:vAlign w:val="center"/>
            <w:hideMark/>
          </w:tcPr>
          <w:p w:rsidR="003E272C" w:rsidRPr="009A1547" w:rsidRDefault="003E272C" w:rsidP="00175519">
            <w:pPr>
              <w:rPr>
                <w:rFonts w:ascii="Cambria" w:hAnsi="Cambria"/>
                <w:b/>
                <w:color w:val="000000"/>
              </w:rPr>
            </w:pPr>
            <w:r w:rsidRPr="009A1547">
              <w:rPr>
                <w:rFonts w:ascii="Cambria" w:hAnsi="Cambria"/>
                <w:b/>
                <w:color w:val="000000"/>
              </w:rPr>
              <w:t>Index</w:t>
            </w:r>
          </w:p>
        </w:tc>
        <w:tc>
          <w:tcPr>
            <w:tcW w:w="1276" w:type="dxa"/>
            <w:vMerge w:val="restart"/>
            <w:tcBorders>
              <w:top w:val="dotted" w:sz="4" w:space="0" w:color="auto"/>
              <w:left w:val="dotted" w:sz="4" w:space="0" w:color="auto"/>
              <w:bottom w:val="dotted" w:sz="4" w:space="0" w:color="auto"/>
              <w:right w:val="dotted" w:sz="4" w:space="0" w:color="auto"/>
            </w:tcBorders>
            <w:noWrap/>
            <w:vAlign w:val="center"/>
            <w:hideMark/>
          </w:tcPr>
          <w:p w:rsidR="003E272C" w:rsidRPr="009A1547" w:rsidRDefault="003E272C" w:rsidP="00175519">
            <w:pPr>
              <w:jc w:val="center"/>
              <w:rPr>
                <w:rFonts w:ascii="Cambria" w:hAnsi="Cambria"/>
                <w:b/>
                <w:color w:val="000000"/>
              </w:rPr>
            </w:pPr>
            <w:r w:rsidRPr="009A1547">
              <w:rPr>
                <w:rFonts w:ascii="Cambria" w:hAnsi="Cambria"/>
                <w:b/>
                <w:color w:val="000000"/>
              </w:rPr>
              <w:t>Valeur</w:t>
            </w:r>
          </w:p>
        </w:tc>
        <w:tc>
          <w:tcPr>
            <w:tcW w:w="2693" w:type="dxa"/>
            <w:gridSpan w:val="2"/>
            <w:tcBorders>
              <w:top w:val="dotted" w:sz="4" w:space="0" w:color="auto"/>
              <w:left w:val="dotted" w:sz="4" w:space="0" w:color="auto"/>
              <w:bottom w:val="dotted" w:sz="4" w:space="0" w:color="auto"/>
              <w:right w:val="dotted" w:sz="4" w:space="0" w:color="auto"/>
            </w:tcBorders>
            <w:noWrap/>
            <w:vAlign w:val="center"/>
            <w:hideMark/>
          </w:tcPr>
          <w:p w:rsidR="003E272C" w:rsidRPr="009A1547" w:rsidRDefault="003E272C" w:rsidP="00175519">
            <w:pPr>
              <w:jc w:val="center"/>
              <w:rPr>
                <w:rFonts w:ascii="Cambria" w:hAnsi="Cambria"/>
                <w:b/>
                <w:color w:val="000000"/>
              </w:rPr>
            </w:pPr>
            <w:r w:rsidRPr="009A1547">
              <w:rPr>
                <w:rFonts w:ascii="Cambria" w:hAnsi="Cambria"/>
                <w:b/>
                <w:color w:val="000000"/>
              </w:rPr>
              <w:t>Variations en %</w:t>
            </w:r>
          </w:p>
        </w:tc>
      </w:tr>
      <w:tr w:rsidR="003E272C" w:rsidRPr="009A1547" w:rsidTr="00175519">
        <w:trPr>
          <w:trHeight w:val="315"/>
        </w:trPr>
        <w:tc>
          <w:tcPr>
            <w:tcW w:w="0" w:type="auto"/>
            <w:vMerge/>
            <w:tcBorders>
              <w:top w:val="dotted" w:sz="4" w:space="0" w:color="auto"/>
              <w:left w:val="dotted" w:sz="4" w:space="0" w:color="auto"/>
              <w:bottom w:val="dotted" w:sz="4" w:space="0" w:color="auto"/>
              <w:right w:val="dotted" w:sz="4" w:space="0" w:color="auto"/>
            </w:tcBorders>
            <w:vAlign w:val="center"/>
            <w:hideMark/>
          </w:tcPr>
          <w:p w:rsidR="003E272C" w:rsidRPr="009A1547" w:rsidRDefault="003E272C" w:rsidP="00175519">
            <w:pPr>
              <w:rPr>
                <w:rFonts w:ascii="Cambria" w:hAnsi="Cambria"/>
                <w:b/>
                <w:color w:val="000000"/>
              </w:rPr>
            </w:pPr>
          </w:p>
        </w:tc>
        <w:tc>
          <w:tcPr>
            <w:tcW w:w="0" w:type="auto"/>
            <w:vMerge/>
            <w:tcBorders>
              <w:top w:val="dotted" w:sz="4" w:space="0" w:color="auto"/>
              <w:left w:val="dotted" w:sz="4" w:space="0" w:color="auto"/>
              <w:bottom w:val="dotted" w:sz="4" w:space="0" w:color="auto"/>
              <w:right w:val="dotted" w:sz="4" w:space="0" w:color="auto"/>
            </w:tcBorders>
            <w:vAlign w:val="center"/>
            <w:hideMark/>
          </w:tcPr>
          <w:p w:rsidR="003E272C" w:rsidRPr="009A1547" w:rsidRDefault="003E272C" w:rsidP="00175519">
            <w:pPr>
              <w:rPr>
                <w:rFonts w:ascii="Cambria" w:hAnsi="Cambria"/>
                <w:b/>
                <w:color w:val="000000"/>
              </w:rPr>
            </w:pPr>
          </w:p>
        </w:tc>
        <w:tc>
          <w:tcPr>
            <w:tcW w:w="1309" w:type="dxa"/>
            <w:tcBorders>
              <w:top w:val="dotted" w:sz="4" w:space="0" w:color="auto"/>
              <w:left w:val="dotted" w:sz="4" w:space="0" w:color="auto"/>
              <w:bottom w:val="dotted" w:sz="4" w:space="0" w:color="auto"/>
              <w:right w:val="dotted" w:sz="4" w:space="0" w:color="auto"/>
            </w:tcBorders>
            <w:noWrap/>
            <w:vAlign w:val="center"/>
            <w:hideMark/>
          </w:tcPr>
          <w:p w:rsidR="003E272C" w:rsidRPr="009A1547" w:rsidRDefault="003E272C" w:rsidP="00175519">
            <w:pPr>
              <w:jc w:val="center"/>
              <w:rPr>
                <w:rFonts w:ascii="Cambria" w:hAnsi="Cambria"/>
                <w:b/>
                <w:color w:val="000000"/>
              </w:rPr>
            </w:pPr>
            <w:r w:rsidRPr="009A1547">
              <w:rPr>
                <w:rFonts w:ascii="Cambria" w:hAnsi="Cambria"/>
                <w:b/>
                <w:color w:val="000000"/>
              </w:rPr>
              <w:t>Mensuelle</w:t>
            </w:r>
          </w:p>
        </w:tc>
        <w:tc>
          <w:tcPr>
            <w:tcW w:w="1384" w:type="dxa"/>
            <w:tcBorders>
              <w:top w:val="dotted" w:sz="4" w:space="0" w:color="auto"/>
              <w:left w:val="dotted" w:sz="4" w:space="0" w:color="auto"/>
              <w:bottom w:val="dotted" w:sz="4" w:space="0" w:color="auto"/>
              <w:right w:val="dotted" w:sz="4" w:space="0" w:color="auto"/>
            </w:tcBorders>
            <w:vAlign w:val="center"/>
            <w:hideMark/>
          </w:tcPr>
          <w:p w:rsidR="003E272C" w:rsidRPr="009A1547" w:rsidRDefault="003E272C" w:rsidP="00175519">
            <w:pPr>
              <w:jc w:val="center"/>
              <w:rPr>
                <w:rFonts w:ascii="Cambria" w:hAnsi="Cambria"/>
                <w:b/>
                <w:color w:val="000000"/>
              </w:rPr>
            </w:pPr>
            <w:r w:rsidRPr="009A1547">
              <w:rPr>
                <w:rFonts w:ascii="Cambria" w:hAnsi="Cambria"/>
                <w:b/>
                <w:color w:val="000000"/>
              </w:rPr>
              <w:t>Sur 12 mois</w:t>
            </w:r>
          </w:p>
        </w:tc>
      </w:tr>
      <w:tr w:rsidR="003E272C" w:rsidRPr="009A1547" w:rsidTr="00175519">
        <w:trPr>
          <w:trHeight w:val="315"/>
        </w:trPr>
        <w:tc>
          <w:tcPr>
            <w:tcW w:w="5665" w:type="dxa"/>
            <w:tcBorders>
              <w:top w:val="dotted" w:sz="4" w:space="0" w:color="auto"/>
              <w:left w:val="dotted" w:sz="4" w:space="0" w:color="auto"/>
              <w:bottom w:val="dotted" w:sz="4" w:space="0" w:color="auto"/>
              <w:right w:val="dotted" w:sz="4" w:space="0" w:color="auto"/>
            </w:tcBorders>
            <w:noWrap/>
            <w:vAlign w:val="center"/>
            <w:hideMark/>
          </w:tcPr>
          <w:p w:rsidR="003E272C" w:rsidRPr="009A1547" w:rsidRDefault="003E272C" w:rsidP="00175519">
            <w:pPr>
              <w:rPr>
                <w:rFonts w:ascii="Cambria" w:hAnsi="Cambria"/>
                <w:color w:val="000000"/>
              </w:rPr>
            </w:pPr>
            <w:r w:rsidRPr="009A1547">
              <w:rPr>
                <w:rFonts w:ascii="Cambria" w:hAnsi="Cambria"/>
                <w:color w:val="000000"/>
              </w:rPr>
              <w:t>Gardiennage</w:t>
            </w:r>
          </w:p>
        </w:tc>
        <w:tc>
          <w:tcPr>
            <w:tcW w:w="1276" w:type="dxa"/>
            <w:tcBorders>
              <w:top w:val="dotted" w:sz="4" w:space="0" w:color="auto"/>
              <w:left w:val="dotted" w:sz="4" w:space="0" w:color="auto"/>
              <w:bottom w:val="dotted" w:sz="4" w:space="0" w:color="auto"/>
              <w:right w:val="dotted" w:sz="4" w:space="0" w:color="auto"/>
            </w:tcBorders>
            <w:noWrap/>
            <w:vAlign w:val="center"/>
            <w:hideMark/>
          </w:tcPr>
          <w:p w:rsidR="003E272C" w:rsidRPr="009A1547" w:rsidRDefault="003E272C" w:rsidP="00175519">
            <w:pPr>
              <w:jc w:val="center"/>
              <w:rPr>
                <w:rFonts w:ascii="Cambria" w:hAnsi="Cambria"/>
                <w:color w:val="000000"/>
              </w:rPr>
            </w:pPr>
            <w:r w:rsidRPr="009A1547">
              <w:rPr>
                <w:rFonts w:ascii="Cambria" w:hAnsi="Cambria"/>
                <w:color w:val="000000"/>
              </w:rPr>
              <w:t>115,79</w:t>
            </w:r>
          </w:p>
        </w:tc>
        <w:tc>
          <w:tcPr>
            <w:tcW w:w="1309" w:type="dxa"/>
            <w:tcBorders>
              <w:top w:val="dotted" w:sz="4" w:space="0" w:color="auto"/>
              <w:left w:val="dotted" w:sz="4" w:space="0" w:color="auto"/>
              <w:bottom w:val="dotted" w:sz="4" w:space="0" w:color="auto"/>
              <w:right w:val="dotted" w:sz="4" w:space="0" w:color="auto"/>
            </w:tcBorders>
            <w:noWrap/>
            <w:vAlign w:val="center"/>
            <w:hideMark/>
          </w:tcPr>
          <w:p w:rsidR="003E272C" w:rsidRPr="009A1547" w:rsidRDefault="003E272C" w:rsidP="00175519">
            <w:pPr>
              <w:jc w:val="center"/>
              <w:rPr>
                <w:rFonts w:ascii="Cambria" w:hAnsi="Cambria"/>
                <w:color w:val="000000"/>
              </w:rPr>
            </w:pPr>
            <w:r w:rsidRPr="009A1547">
              <w:rPr>
                <w:rFonts w:ascii="Cambria" w:hAnsi="Cambria"/>
                <w:color w:val="000000"/>
              </w:rPr>
              <w:t>-</w:t>
            </w:r>
          </w:p>
        </w:tc>
        <w:tc>
          <w:tcPr>
            <w:tcW w:w="1384" w:type="dxa"/>
            <w:tcBorders>
              <w:top w:val="dotted" w:sz="4" w:space="0" w:color="auto"/>
              <w:left w:val="dotted" w:sz="4" w:space="0" w:color="auto"/>
              <w:bottom w:val="dotted" w:sz="4" w:space="0" w:color="auto"/>
              <w:right w:val="dotted" w:sz="4" w:space="0" w:color="auto"/>
            </w:tcBorders>
            <w:vAlign w:val="center"/>
            <w:hideMark/>
          </w:tcPr>
          <w:p w:rsidR="003E272C" w:rsidRPr="009A1547" w:rsidRDefault="003E272C" w:rsidP="00175519">
            <w:pPr>
              <w:jc w:val="center"/>
              <w:rPr>
                <w:rFonts w:ascii="Cambria" w:hAnsi="Cambria"/>
                <w:color w:val="000000"/>
              </w:rPr>
            </w:pPr>
            <w:r w:rsidRPr="009A1547">
              <w:rPr>
                <w:rFonts w:ascii="Cambria" w:hAnsi="Cambria"/>
                <w:color w:val="000000"/>
              </w:rPr>
              <w:t>1,3</w:t>
            </w:r>
          </w:p>
        </w:tc>
      </w:tr>
      <w:tr w:rsidR="003E272C" w:rsidRPr="009A1547" w:rsidTr="00175519">
        <w:trPr>
          <w:trHeight w:val="315"/>
        </w:trPr>
        <w:tc>
          <w:tcPr>
            <w:tcW w:w="5665" w:type="dxa"/>
            <w:tcBorders>
              <w:top w:val="dotted" w:sz="4" w:space="0" w:color="auto"/>
              <w:left w:val="dotted" w:sz="4" w:space="0" w:color="auto"/>
              <w:bottom w:val="dotted" w:sz="4" w:space="0" w:color="auto"/>
              <w:right w:val="dotted" w:sz="4" w:space="0" w:color="auto"/>
            </w:tcBorders>
            <w:noWrap/>
            <w:vAlign w:val="center"/>
            <w:hideMark/>
          </w:tcPr>
          <w:p w:rsidR="003E272C" w:rsidRPr="009A1547" w:rsidRDefault="003E272C" w:rsidP="00175519">
            <w:pPr>
              <w:rPr>
                <w:rFonts w:ascii="Cambria" w:hAnsi="Cambria"/>
                <w:color w:val="000000"/>
              </w:rPr>
            </w:pPr>
            <w:r w:rsidRPr="009A1547">
              <w:rPr>
                <w:rFonts w:ascii="Cambria" w:hAnsi="Cambria"/>
                <w:color w:val="000000"/>
              </w:rPr>
              <w:t>Sûreté</w:t>
            </w:r>
          </w:p>
        </w:tc>
        <w:tc>
          <w:tcPr>
            <w:tcW w:w="1276" w:type="dxa"/>
            <w:tcBorders>
              <w:top w:val="dotted" w:sz="4" w:space="0" w:color="auto"/>
              <w:left w:val="dotted" w:sz="4" w:space="0" w:color="auto"/>
              <w:bottom w:val="dotted" w:sz="4" w:space="0" w:color="auto"/>
              <w:right w:val="dotted" w:sz="4" w:space="0" w:color="auto"/>
            </w:tcBorders>
            <w:noWrap/>
            <w:vAlign w:val="center"/>
            <w:hideMark/>
          </w:tcPr>
          <w:p w:rsidR="003E272C" w:rsidRPr="009A1547" w:rsidRDefault="003E272C" w:rsidP="00175519">
            <w:pPr>
              <w:jc w:val="center"/>
              <w:rPr>
                <w:rFonts w:ascii="Cambria" w:hAnsi="Cambria"/>
                <w:color w:val="000000"/>
              </w:rPr>
            </w:pPr>
            <w:r w:rsidRPr="009A1547">
              <w:rPr>
                <w:rFonts w:ascii="Cambria" w:hAnsi="Cambria"/>
                <w:color w:val="000000"/>
              </w:rPr>
              <w:t>110,89</w:t>
            </w:r>
          </w:p>
        </w:tc>
        <w:tc>
          <w:tcPr>
            <w:tcW w:w="1309" w:type="dxa"/>
            <w:tcBorders>
              <w:top w:val="dotted" w:sz="4" w:space="0" w:color="auto"/>
              <w:left w:val="dotted" w:sz="4" w:space="0" w:color="auto"/>
              <w:bottom w:val="dotted" w:sz="4" w:space="0" w:color="auto"/>
              <w:right w:val="dotted" w:sz="4" w:space="0" w:color="auto"/>
            </w:tcBorders>
            <w:noWrap/>
            <w:vAlign w:val="center"/>
            <w:hideMark/>
          </w:tcPr>
          <w:p w:rsidR="003E272C" w:rsidRPr="009A1547" w:rsidRDefault="003E272C" w:rsidP="00175519">
            <w:pPr>
              <w:jc w:val="center"/>
              <w:rPr>
                <w:rFonts w:ascii="Cambria" w:hAnsi="Cambria"/>
                <w:color w:val="000000"/>
              </w:rPr>
            </w:pPr>
            <w:r w:rsidRPr="009A1547">
              <w:rPr>
                <w:rFonts w:ascii="Cambria" w:hAnsi="Cambria"/>
                <w:color w:val="000000"/>
              </w:rPr>
              <w:t>-</w:t>
            </w:r>
          </w:p>
        </w:tc>
        <w:tc>
          <w:tcPr>
            <w:tcW w:w="1384" w:type="dxa"/>
            <w:tcBorders>
              <w:top w:val="dotted" w:sz="4" w:space="0" w:color="auto"/>
              <w:left w:val="dotted" w:sz="4" w:space="0" w:color="auto"/>
              <w:bottom w:val="dotted" w:sz="4" w:space="0" w:color="auto"/>
              <w:right w:val="dotted" w:sz="4" w:space="0" w:color="auto"/>
            </w:tcBorders>
            <w:vAlign w:val="center"/>
            <w:hideMark/>
          </w:tcPr>
          <w:p w:rsidR="003E272C" w:rsidRPr="009A1547" w:rsidRDefault="003E272C" w:rsidP="00175519">
            <w:pPr>
              <w:jc w:val="center"/>
              <w:rPr>
                <w:rFonts w:ascii="Cambria" w:hAnsi="Cambria"/>
                <w:color w:val="000000"/>
              </w:rPr>
            </w:pPr>
            <w:r w:rsidRPr="009A1547">
              <w:rPr>
                <w:rFonts w:ascii="Cambria" w:hAnsi="Cambria"/>
                <w:color w:val="000000"/>
              </w:rPr>
              <w:t>1,4</w:t>
            </w:r>
          </w:p>
        </w:tc>
      </w:tr>
      <w:tr w:rsidR="003E272C" w:rsidRPr="009A1547" w:rsidTr="00175519">
        <w:trPr>
          <w:trHeight w:val="315"/>
        </w:trPr>
        <w:tc>
          <w:tcPr>
            <w:tcW w:w="5665" w:type="dxa"/>
            <w:tcBorders>
              <w:top w:val="dotted" w:sz="4" w:space="0" w:color="auto"/>
              <w:left w:val="dotted" w:sz="4" w:space="0" w:color="auto"/>
              <w:bottom w:val="dotted" w:sz="4" w:space="0" w:color="auto"/>
              <w:right w:val="dotted" w:sz="4" w:space="0" w:color="auto"/>
            </w:tcBorders>
            <w:noWrap/>
            <w:vAlign w:val="center"/>
            <w:hideMark/>
          </w:tcPr>
          <w:p w:rsidR="003E272C" w:rsidRPr="009A1547" w:rsidRDefault="003E272C" w:rsidP="00175519">
            <w:pPr>
              <w:rPr>
                <w:rFonts w:ascii="Cambria" w:hAnsi="Cambria"/>
                <w:color w:val="000000"/>
              </w:rPr>
            </w:pPr>
            <w:r w:rsidRPr="009A1547">
              <w:rPr>
                <w:rFonts w:ascii="Cambria" w:hAnsi="Cambria"/>
                <w:color w:val="000000"/>
              </w:rPr>
              <w:t>Véhicules Légers</w:t>
            </w:r>
          </w:p>
        </w:tc>
        <w:tc>
          <w:tcPr>
            <w:tcW w:w="1276" w:type="dxa"/>
            <w:tcBorders>
              <w:top w:val="dotted" w:sz="4" w:space="0" w:color="auto"/>
              <w:left w:val="dotted" w:sz="4" w:space="0" w:color="auto"/>
              <w:bottom w:val="dotted" w:sz="4" w:space="0" w:color="auto"/>
              <w:right w:val="dotted" w:sz="4" w:space="0" w:color="auto"/>
            </w:tcBorders>
            <w:noWrap/>
            <w:vAlign w:val="center"/>
            <w:hideMark/>
          </w:tcPr>
          <w:p w:rsidR="003E272C" w:rsidRPr="009A1547" w:rsidRDefault="003E272C" w:rsidP="00175519">
            <w:pPr>
              <w:jc w:val="center"/>
              <w:rPr>
                <w:rFonts w:ascii="Cambria" w:hAnsi="Cambria"/>
                <w:color w:val="000000"/>
              </w:rPr>
            </w:pPr>
            <w:r w:rsidRPr="009A1547">
              <w:rPr>
                <w:rFonts w:ascii="Cambria" w:hAnsi="Cambria"/>
                <w:color w:val="000000"/>
              </w:rPr>
              <w:t>111,92</w:t>
            </w:r>
          </w:p>
        </w:tc>
        <w:tc>
          <w:tcPr>
            <w:tcW w:w="1309" w:type="dxa"/>
            <w:tcBorders>
              <w:top w:val="dotted" w:sz="4" w:space="0" w:color="auto"/>
              <w:left w:val="dotted" w:sz="4" w:space="0" w:color="auto"/>
              <w:bottom w:val="dotted" w:sz="4" w:space="0" w:color="auto"/>
              <w:right w:val="dotted" w:sz="4" w:space="0" w:color="auto"/>
            </w:tcBorders>
            <w:noWrap/>
            <w:vAlign w:val="center"/>
            <w:hideMark/>
          </w:tcPr>
          <w:p w:rsidR="003E272C" w:rsidRPr="009A1547" w:rsidRDefault="003E272C" w:rsidP="00175519">
            <w:pPr>
              <w:jc w:val="center"/>
              <w:rPr>
                <w:rFonts w:ascii="Cambria" w:hAnsi="Cambria"/>
                <w:color w:val="000000"/>
              </w:rPr>
            </w:pPr>
            <w:r w:rsidRPr="009A1547">
              <w:rPr>
                <w:rFonts w:ascii="Cambria" w:hAnsi="Cambria"/>
                <w:color w:val="000000"/>
              </w:rPr>
              <w:t>0,6</w:t>
            </w:r>
          </w:p>
        </w:tc>
        <w:tc>
          <w:tcPr>
            <w:tcW w:w="1384" w:type="dxa"/>
            <w:tcBorders>
              <w:top w:val="dotted" w:sz="4" w:space="0" w:color="auto"/>
              <w:left w:val="dotted" w:sz="4" w:space="0" w:color="auto"/>
              <w:bottom w:val="dotted" w:sz="4" w:space="0" w:color="auto"/>
              <w:right w:val="dotted" w:sz="4" w:space="0" w:color="auto"/>
            </w:tcBorders>
            <w:vAlign w:val="center"/>
            <w:hideMark/>
          </w:tcPr>
          <w:p w:rsidR="003E272C" w:rsidRPr="009A1547" w:rsidRDefault="003E272C" w:rsidP="00175519">
            <w:pPr>
              <w:jc w:val="center"/>
              <w:rPr>
                <w:rFonts w:ascii="Cambria" w:hAnsi="Cambria"/>
                <w:color w:val="000000"/>
              </w:rPr>
            </w:pPr>
            <w:r w:rsidRPr="009A1547">
              <w:rPr>
                <w:rFonts w:ascii="Cambria" w:hAnsi="Cambria"/>
                <w:color w:val="000000"/>
              </w:rPr>
              <w:t>1,2</w:t>
            </w:r>
          </w:p>
        </w:tc>
      </w:tr>
      <w:tr w:rsidR="003E272C" w:rsidRPr="009A1547" w:rsidTr="00175519">
        <w:trPr>
          <w:trHeight w:val="315"/>
        </w:trPr>
        <w:tc>
          <w:tcPr>
            <w:tcW w:w="5665" w:type="dxa"/>
            <w:tcBorders>
              <w:top w:val="dotted" w:sz="4" w:space="0" w:color="auto"/>
              <w:left w:val="dotted" w:sz="4" w:space="0" w:color="auto"/>
              <w:bottom w:val="dotted" w:sz="4" w:space="0" w:color="auto"/>
              <w:right w:val="dotted" w:sz="4" w:space="0" w:color="auto"/>
            </w:tcBorders>
            <w:noWrap/>
            <w:vAlign w:val="center"/>
            <w:hideMark/>
          </w:tcPr>
          <w:p w:rsidR="003E272C" w:rsidRPr="009A1547" w:rsidRDefault="003E272C" w:rsidP="00175519">
            <w:pPr>
              <w:rPr>
                <w:rFonts w:ascii="Cambria" w:hAnsi="Cambria"/>
                <w:color w:val="000000"/>
              </w:rPr>
            </w:pPr>
            <w:r w:rsidRPr="009A1547">
              <w:rPr>
                <w:rFonts w:ascii="Cambria" w:hAnsi="Cambria"/>
                <w:color w:val="000000"/>
              </w:rPr>
              <w:t>Véhicules de Chantier</w:t>
            </w:r>
          </w:p>
        </w:tc>
        <w:tc>
          <w:tcPr>
            <w:tcW w:w="1276" w:type="dxa"/>
            <w:tcBorders>
              <w:top w:val="dotted" w:sz="4" w:space="0" w:color="auto"/>
              <w:left w:val="dotted" w:sz="4" w:space="0" w:color="auto"/>
              <w:bottom w:val="dotted" w:sz="4" w:space="0" w:color="auto"/>
              <w:right w:val="dotted" w:sz="4" w:space="0" w:color="auto"/>
            </w:tcBorders>
            <w:noWrap/>
            <w:vAlign w:val="center"/>
            <w:hideMark/>
          </w:tcPr>
          <w:p w:rsidR="003E272C" w:rsidRPr="009A1547" w:rsidRDefault="003E272C" w:rsidP="00175519">
            <w:pPr>
              <w:jc w:val="center"/>
              <w:rPr>
                <w:rFonts w:ascii="Cambria" w:hAnsi="Cambria"/>
                <w:color w:val="000000"/>
              </w:rPr>
            </w:pPr>
            <w:r w:rsidRPr="009A1547">
              <w:rPr>
                <w:rFonts w:ascii="Cambria" w:hAnsi="Cambria"/>
                <w:color w:val="000000"/>
              </w:rPr>
              <w:t>105,37</w:t>
            </w:r>
          </w:p>
        </w:tc>
        <w:tc>
          <w:tcPr>
            <w:tcW w:w="1309" w:type="dxa"/>
            <w:tcBorders>
              <w:top w:val="dotted" w:sz="4" w:space="0" w:color="auto"/>
              <w:left w:val="dotted" w:sz="4" w:space="0" w:color="auto"/>
              <w:bottom w:val="dotted" w:sz="4" w:space="0" w:color="auto"/>
              <w:right w:val="dotted" w:sz="4" w:space="0" w:color="auto"/>
            </w:tcBorders>
            <w:noWrap/>
            <w:vAlign w:val="center"/>
            <w:hideMark/>
          </w:tcPr>
          <w:p w:rsidR="003E272C" w:rsidRPr="009A1547" w:rsidRDefault="003E272C" w:rsidP="00175519">
            <w:pPr>
              <w:jc w:val="center"/>
              <w:rPr>
                <w:rFonts w:ascii="Cambria" w:hAnsi="Cambria"/>
                <w:color w:val="000000"/>
              </w:rPr>
            </w:pPr>
            <w:r w:rsidRPr="009A1547">
              <w:rPr>
                <w:rFonts w:ascii="Cambria" w:hAnsi="Cambria"/>
                <w:color w:val="000000"/>
              </w:rPr>
              <w:t>-</w:t>
            </w:r>
          </w:p>
        </w:tc>
        <w:tc>
          <w:tcPr>
            <w:tcW w:w="1384" w:type="dxa"/>
            <w:tcBorders>
              <w:top w:val="dotted" w:sz="4" w:space="0" w:color="auto"/>
              <w:left w:val="dotted" w:sz="4" w:space="0" w:color="auto"/>
              <w:bottom w:val="dotted" w:sz="4" w:space="0" w:color="auto"/>
              <w:right w:val="dotted" w:sz="4" w:space="0" w:color="auto"/>
            </w:tcBorders>
            <w:vAlign w:val="center"/>
            <w:hideMark/>
          </w:tcPr>
          <w:p w:rsidR="003E272C" w:rsidRPr="009A1547" w:rsidRDefault="003E272C" w:rsidP="00175519">
            <w:pPr>
              <w:jc w:val="center"/>
              <w:rPr>
                <w:rFonts w:ascii="Cambria" w:hAnsi="Cambria"/>
                <w:color w:val="000000"/>
              </w:rPr>
            </w:pPr>
            <w:r w:rsidRPr="009A1547">
              <w:rPr>
                <w:rFonts w:ascii="Cambria" w:hAnsi="Cambria"/>
                <w:color w:val="000000"/>
              </w:rPr>
              <w:t>0,6</w:t>
            </w:r>
          </w:p>
        </w:tc>
      </w:tr>
      <w:tr w:rsidR="003E272C" w:rsidRPr="009A1547" w:rsidTr="00175519">
        <w:trPr>
          <w:trHeight w:val="315"/>
        </w:trPr>
        <w:tc>
          <w:tcPr>
            <w:tcW w:w="5665" w:type="dxa"/>
            <w:tcBorders>
              <w:top w:val="dotted" w:sz="4" w:space="0" w:color="auto"/>
              <w:left w:val="dotted" w:sz="4" w:space="0" w:color="auto"/>
              <w:bottom w:val="dotted" w:sz="4" w:space="0" w:color="auto"/>
              <w:right w:val="dotted" w:sz="4" w:space="0" w:color="auto"/>
            </w:tcBorders>
            <w:noWrap/>
            <w:vAlign w:val="center"/>
            <w:hideMark/>
          </w:tcPr>
          <w:p w:rsidR="003E272C" w:rsidRPr="009A1547" w:rsidRDefault="003E272C" w:rsidP="00175519">
            <w:pPr>
              <w:rPr>
                <w:rFonts w:ascii="Cambria" w:hAnsi="Cambria"/>
                <w:color w:val="000000"/>
              </w:rPr>
            </w:pPr>
            <w:r w:rsidRPr="009A1547">
              <w:rPr>
                <w:rFonts w:ascii="Cambria" w:hAnsi="Cambria"/>
                <w:color w:val="000000"/>
              </w:rPr>
              <w:t>Construction navale en aluminium</w:t>
            </w:r>
          </w:p>
        </w:tc>
        <w:tc>
          <w:tcPr>
            <w:tcW w:w="1276" w:type="dxa"/>
            <w:tcBorders>
              <w:top w:val="dotted" w:sz="4" w:space="0" w:color="auto"/>
              <w:left w:val="dotted" w:sz="4" w:space="0" w:color="auto"/>
              <w:bottom w:val="dotted" w:sz="4" w:space="0" w:color="auto"/>
              <w:right w:val="dotted" w:sz="4" w:space="0" w:color="auto"/>
            </w:tcBorders>
            <w:noWrap/>
            <w:vAlign w:val="center"/>
            <w:hideMark/>
          </w:tcPr>
          <w:p w:rsidR="003E272C" w:rsidRPr="009A1547" w:rsidRDefault="003E272C" w:rsidP="00175519">
            <w:pPr>
              <w:jc w:val="center"/>
              <w:rPr>
                <w:rFonts w:ascii="Cambria" w:hAnsi="Cambria"/>
                <w:color w:val="000000"/>
              </w:rPr>
            </w:pPr>
            <w:r w:rsidRPr="009A1547">
              <w:rPr>
                <w:rFonts w:ascii="Cambria" w:hAnsi="Cambria"/>
                <w:color w:val="000000"/>
              </w:rPr>
              <w:t>121,36</w:t>
            </w:r>
          </w:p>
        </w:tc>
        <w:tc>
          <w:tcPr>
            <w:tcW w:w="1309" w:type="dxa"/>
            <w:tcBorders>
              <w:top w:val="dotted" w:sz="4" w:space="0" w:color="auto"/>
              <w:left w:val="dotted" w:sz="4" w:space="0" w:color="auto"/>
              <w:bottom w:val="dotted" w:sz="4" w:space="0" w:color="auto"/>
              <w:right w:val="dotted" w:sz="4" w:space="0" w:color="auto"/>
            </w:tcBorders>
            <w:noWrap/>
            <w:vAlign w:val="center"/>
            <w:hideMark/>
          </w:tcPr>
          <w:p w:rsidR="003E272C" w:rsidRPr="009A1547" w:rsidRDefault="003E272C" w:rsidP="00175519">
            <w:pPr>
              <w:jc w:val="center"/>
              <w:rPr>
                <w:rFonts w:ascii="Cambria" w:hAnsi="Cambria"/>
                <w:color w:val="000000"/>
              </w:rPr>
            </w:pPr>
            <w:r w:rsidRPr="009A1547">
              <w:rPr>
                <w:rFonts w:ascii="Cambria" w:hAnsi="Cambria"/>
                <w:color w:val="000000"/>
              </w:rPr>
              <w:t>0,3</w:t>
            </w:r>
          </w:p>
        </w:tc>
        <w:tc>
          <w:tcPr>
            <w:tcW w:w="1384" w:type="dxa"/>
            <w:tcBorders>
              <w:top w:val="dotted" w:sz="4" w:space="0" w:color="auto"/>
              <w:left w:val="dotted" w:sz="4" w:space="0" w:color="auto"/>
              <w:bottom w:val="dotted" w:sz="4" w:space="0" w:color="auto"/>
              <w:right w:val="dotted" w:sz="4" w:space="0" w:color="auto"/>
            </w:tcBorders>
            <w:noWrap/>
            <w:vAlign w:val="center"/>
            <w:hideMark/>
          </w:tcPr>
          <w:p w:rsidR="003E272C" w:rsidRPr="009A1547" w:rsidRDefault="003E272C" w:rsidP="00175519">
            <w:pPr>
              <w:jc w:val="center"/>
              <w:rPr>
                <w:rFonts w:ascii="Cambria" w:hAnsi="Cambria"/>
                <w:color w:val="000000"/>
              </w:rPr>
            </w:pPr>
            <w:r w:rsidRPr="009A1547">
              <w:rPr>
                <w:rFonts w:ascii="Cambria" w:hAnsi="Cambria"/>
                <w:color w:val="000000"/>
              </w:rPr>
              <w:t>-5,1</w:t>
            </w:r>
          </w:p>
        </w:tc>
      </w:tr>
      <w:tr w:rsidR="003E272C" w:rsidRPr="009A1547" w:rsidTr="00175519">
        <w:trPr>
          <w:trHeight w:val="315"/>
        </w:trPr>
        <w:tc>
          <w:tcPr>
            <w:tcW w:w="5665" w:type="dxa"/>
            <w:tcBorders>
              <w:top w:val="dotted" w:sz="4" w:space="0" w:color="auto"/>
              <w:left w:val="dotted" w:sz="4" w:space="0" w:color="auto"/>
              <w:bottom w:val="dotted" w:sz="4" w:space="0" w:color="auto"/>
              <w:right w:val="dotted" w:sz="4" w:space="0" w:color="auto"/>
            </w:tcBorders>
            <w:noWrap/>
            <w:vAlign w:val="center"/>
            <w:hideMark/>
          </w:tcPr>
          <w:p w:rsidR="003E272C" w:rsidRPr="009A1547" w:rsidRDefault="003E272C" w:rsidP="00175519">
            <w:pPr>
              <w:rPr>
                <w:rFonts w:ascii="Cambria" w:hAnsi="Cambria"/>
                <w:color w:val="000000"/>
              </w:rPr>
            </w:pPr>
            <w:r w:rsidRPr="009A1547">
              <w:rPr>
                <w:rFonts w:ascii="Cambria" w:hAnsi="Cambria"/>
                <w:color w:val="000000"/>
              </w:rPr>
              <w:t>Fourniture de pièces détachées pour navires</w:t>
            </w:r>
          </w:p>
        </w:tc>
        <w:tc>
          <w:tcPr>
            <w:tcW w:w="1276" w:type="dxa"/>
            <w:tcBorders>
              <w:top w:val="dotted" w:sz="4" w:space="0" w:color="auto"/>
              <w:left w:val="dotted" w:sz="4" w:space="0" w:color="auto"/>
              <w:bottom w:val="dotted" w:sz="4" w:space="0" w:color="auto"/>
              <w:right w:val="dotted" w:sz="4" w:space="0" w:color="auto"/>
            </w:tcBorders>
            <w:noWrap/>
            <w:vAlign w:val="center"/>
            <w:hideMark/>
          </w:tcPr>
          <w:p w:rsidR="003E272C" w:rsidRPr="009A1547" w:rsidRDefault="003E272C" w:rsidP="00175519">
            <w:pPr>
              <w:jc w:val="center"/>
              <w:rPr>
                <w:rFonts w:ascii="Cambria" w:hAnsi="Cambria"/>
                <w:color w:val="000000"/>
              </w:rPr>
            </w:pPr>
            <w:r w:rsidRPr="009A1547">
              <w:rPr>
                <w:rFonts w:ascii="Cambria" w:hAnsi="Cambria"/>
                <w:color w:val="000000"/>
              </w:rPr>
              <w:t>110,06</w:t>
            </w:r>
          </w:p>
        </w:tc>
        <w:tc>
          <w:tcPr>
            <w:tcW w:w="1309" w:type="dxa"/>
            <w:tcBorders>
              <w:top w:val="dotted" w:sz="4" w:space="0" w:color="auto"/>
              <w:left w:val="dotted" w:sz="4" w:space="0" w:color="auto"/>
              <w:bottom w:val="dotted" w:sz="4" w:space="0" w:color="auto"/>
              <w:right w:val="dotted" w:sz="4" w:space="0" w:color="auto"/>
            </w:tcBorders>
            <w:noWrap/>
            <w:vAlign w:val="center"/>
            <w:hideMark/>
          </w:tcPr>
          <w:p w:rsidR="003E272C" w:rsidRPr="009A1547" w:rsidRDefault="003E272C" w:rsidP="00175519">
            <w:pPr>
              <w:jc w:val="center"/>
              <w:rPr>
                <w:rFonts w:ascii="Cambria" w:hAnsi="Cambria"/>
                <w:color w:val="000000"/>
              </w:rPr>
            </w:pPr>
            <w:r w:rsidRPr="009A1547">
              <w:rPr>
                <w:rFonts w:ascii="Cambria" w:hAnsi="Cambria"/>
                <w:color w:val="000000"/>
              </w:rPr>
              <w:t>-</w:t>
            </w:r>
          </w:p>
        </w:tc>
        <w:tc>
          <w:tcPr>
            <w:tcW w:w="1384" w:type="dxa"/>
            <w:tcBorders>
              <w:top w:val="dotted" w:sz="4" w:space="0" w:color="auto"/>
              <w:left w:val="dotted" w:sz="4" w:space="0" w:color="auto"/>
              <w:bottom w:val="dotted" w:sz="4" w:space="0" w:color="auto"/>
              <w:right w:val="dotted" w:sz="4" w:space="0" w:color="auto"/>
            </w:tcBorders>
            <w:noWrap/>
            <w:vAlign w:val="center"/>
            <w:hideMark/>
          </w:tcPr>
          <w:p w:rsidR="003E272C" w:rsidRPr="009A1547" w:rsidRDefault="003E272C" w:rsidP="00175519">
            <w:pPr>
              <w:jc w:val="center"/>
              <w:rPr>
                <w:rFonts w:ascii="Cambria" w:hAnsi="Cambria"/>
                <w:color w:val="000000"/>
              </w:rPr>
            </w:pPr>
            <w:r w:rsidRPr="009A1547">
              <w:rPr>
                <w:rFonts w:ascii="Cambria" w:hAnsi="Cambria"/>
                <w:color w:val="000000"/>
              </w:rPr>
              <w:t>0,7</w:t>
            </w:r>
          </w:p>
        </w:tc>
      </w:tr>
      <w:tr w:rsidR="003E272C" w:rsidRPr="009A1547" w:rsidTr="00175519">
        <w:trPr>
          <w:trHeight w:val="315"/>
        </w:trPr>
        <w:tc>
          <w:tcPr>
            <w:tcW w:w="5665" w:type="dxa"/>
            <w:tcBorders>
              <w:top w:val="dotted" w:sz="4" w:space="0" w:color="auto"/>
              <w:left w:val="dotted" w:sz="4" w:space="0" w:color="auto"/>
              <w:bottom w:val="dotted" w:sz="4" w:space="0" w:color="auto"/>
              <w:right w:val="dotted" w:sz="4" w:space="0" w:color="auto"/>
            </w:tcBorders>
            <w:noWrap/>
            <w:vAlign w:val="center"/>
            <w:hideMark/>
          </w:tcPr>
          <w:p w:rsidR="003E272C" w:rsidRPr="009A1547" w:rsidRDefault="003E272C" w:rsidP="00175519">
            <w:pPr>
              <w:rPr>
                <w:rFonts w:ascii="Cambria" w:hAnsi="Cambria"/>
                <w:color w:val="000000"/>
              </w:rPr>
            </w:pPr>
            <w:r w:rsidRPr="009A1547">
              <w:rPr>
                <w:rFonts w:ascii="Cambria" w:hAnsi="Cambria"/>
                <w:color w:val="000000"/>
              </w:rPr>
              <w:t>Index des Transports Publics Terrestres</w:t>
            </w:r>
          </w:p>
        </w:tc>
        <w:tc>
          <w:tcPr>
            <w:tcW w:w="1276" w:type="dxa"/>
            <w:tcBorders>
              <w:top w:val="dotted" w:sz="4" w:space="0" w:color="auto"/>
              <w:left w:val="dotted" w:sz="4" w:space="0" w:color="auto"/>
              <w:bottom w:val="dotted" w:sz="4" w:space="0" w:color="auto"/>
              <w:right w:val="dotted" w:sz="4" w:space="0" w:color="auto"/>
            </w:tcBorders>
            <w:noWrap/>
            <w:vAlign w:val="center"/>
            <w:hideMark/>
          </w:tcPr>
          <w:p w:rsidR="003E272C" w:rsidRPr="009A1547" w:rsidRDefault="003E272C" w:rsidP="00175519">
            <w:pPr>
              <w:jc w:val="center"/>
              <w:rPr>
                <w:rFonts w:ascii="Cambria" w:hAnsi="Cambria"/>
                <w:color w:val="000000"/>
              </w:rPr>
            </w:pPr>
            <w:r w:rsidRPr="009A1547">
              <w:rPr>
                <w:rFonts w:ascii="Cambria" w:hAnsi="Cambria"/>
                <w:color w:val="000000"/>
              </w:rPr>
              <w:t>109,27</w:t>
            </w:r>
          </w:p>
        </w:tc>
        <w:tc>
          <w:tcPr>
            <w:tcW w:w="1309" w:type="dxa"/>
            <w:tcBorders>
              <w:top w:val="dotted" w:sz="4" w:space="0" w:color="auto"/>
              <w:left w:val="dotted" w:sz="4" w:space="0" w:color="auto"/>
              <w:bottom w:val="dotted" w:sz="4" w:space="0" w:color="auto"/>
              <w:right w:val="dotted" w:sz="4" w:space="0" w:color="auto"/>
            </w:tcBorders>
            <w:noWrap/>
            <w:vAlign w:val="center"/>
            <w:hideMark/>
          </w:tcPr>
          <w:p w:rsidR="003E272C" w:rsidRPr="009A1547" w:rsidRDefault="003E272C" w:rsidP="00175519">
            <w:pPr>
              <w:jc w:val="center"/>
              <w:rPr>
                <w:rFonts w:ascii="Cambria" w:hAnsi="Cambria"/>
                <w:color w:val="000000"/>
              </w:rPr>
            </w:pPr>
            <w:r w:rsidRPr="009A1547">
              <w:rPr>
                <w:rFonts w:ascii="Cambria" w:hAnsi="Cambria"/>
                <w:color w:val="000000"/>
              </w:rPr>
              <w:t>0,8</w:t>
            </w:r>
          </w:p>
        </w:tc>
        <w:tc>
          <w:tcPr>
            <w:tcW w:w="1384" w:type="dxa"/>
            <w:tcBorders>
              <w:top w:val="dotted" w:sz="4" w:space="0" w:color="auto"/>
              <w:left w:val="dotted" w:sz="4" w:space="0" w:color="auto"/>
              <w:bottom w:val="dotted" w:sz="4" w:space="0" w:color="auto"/>
              <w:right w:val="dotted" w:sz="4" w:space="0" w:color="auto"/>
            </w:tcBorders>
            <w:noWrap/>
            <w:vAlign w:val="center"/>
            <w:hideMark/>
          </w:tcPr>
          <w:p w:rsidR="003E272C" w:rsidRPr="009A1547" w:rsidRDefault="003E272C" w:rsidP="00175519">
            <w:pPr>
              <w:jc w:val="center"/>
              <w:rPr>
                <w:rFonts w:ascii="Cambria" w:hAnsi="Cambria"/>
                <w:color w:val="000000"/>
              </w:rPr>
            </w:pPr>
            <w:r w:rsidRPr="009A1547">
              <w:rPr>
                <w:rFonts w:ascii="Cambria" w:hAnsi="Cambria"/>
                <w:color w:val="000000"/>
              </w:rPr>
              <w:t>1,1</w:t>
            </w:r>
          </w:p>
        </w:tc>
      </w:tr>
      <w:tr w:rsidR="003E272C" w:rsidRPr="009A1547" w:rsidTr="00175519">
        <w:trPr>
          <w:trHeight w:val="315"/>
        </w:trPr>
        <w:tc>
          <w:tcPr>
            <w:tcW w:w="5665" w:type="dxa"/>
            <w:tcBorders>
              <w:top w:val="dotted" w:sz="4" w:space="0" w:color="auto"/>
              <w:left w:val="dotted" w:sz="4" w:space="0" w:color="auto"/>
              <w:bottom w:val="dotted" w:sz="4" w:space="0" w:color="auto"/>
              <w:right w:val="dotted" w:sz="4" w:space="0" w:color="auto"/>
            </w:tcBorders>
            <w:noWrap/>
            <w:vAlign w:val="center"/>
          </w:tcPr>
          <w:p w:rsidR="003E272C" w:rsidRPr="009A1547" w:rsidRDefault="003E272C" w:rsidP="00175519">
            <w:pPr>
              <w:rPr>
                <w:rFonts w:ascii="Cambria" w:hAnsi="Cambria"/>
                <w:color w:val="000000"/>
              </w:rPr>
            </w:pPr>
            <w:r w:rsidRPr="009A1547">
              <w:rPr>
                <w:rFonts w:ascii="Cambria" w:hAnsi="Cambria"/>
                <w:color w:val="000000"/>
              </w:rPr>
              <w:t>Index des Assurances</w:t>
            </w:r>
          </w:p>
        </w:tc>
        <w:tc>
          <w:tcPr>
            <w:tcW w:w="1276" w:type="dxa"/>
            <w:tcBorders>
              <w:top w:val="dotted" w:sz="4" w:space="0" w:color="auto"/>
              <w:left w:val="dotted" w:sz="4" w:space="0" w:color="auto"/>
              <w:bottom w:val="dotted" w:sz="4" w:space="0" w:color="auto"/>
              <w:right w:val="dotted" w:sz="4" w:space="0" w:color="auto"/>
            </w:tcBorders>
            <w:noWrap/>
            <w:vAlign w:val="center"/>
          </w:tcPr>
          <w:p w:rsidR="003E272C" w:rsidRPr="009A1547" w:rsidRDefault="003E272C" w:rsidP="00175519">
            <w:pPr>
              <w:jc w:val="center"/>
              <w:rPr>
                <w:rFonts w:ascii="Cambria" w:hAnsi="Cambria"/>
                <w:color w:val="000000"/>
              </w:rPr>
            </w:pPr>
            <w:r w:rsidRPr="009A1547">
              <w:rPr>
                <w:rFonts w:ascii="Cambria" w:hAnsi="Cambria"/>
                <w:color w:val="000000"/>
              </w:rPr>
              <w:t>102,58</w:t>
            </w:r>
          </w:p>
        </w:tc>
        <w:tc>
          <w:tcPr>
            <w:tcW w:w="1309" w:type="dxa"/>
            <w:tcBorders>
              <w:top w:val="dotted" w:sz="4" w:space="0" w:color="auto"/>
              <w:left w:val="dotted" w:sz="4" w:space="0" w:color="auto"/>
              <w:bottom w:val="dotted" w:sz="4" w:space="0" w:color="auto"/>
              <w:right w:val="dotted" w:sz="4" w:space="0" w:color="auto"/>
            </w:tcBorders>
            <w:noWrap/>
            <w:vAlign w:val="center"/>
          </w:tcPr>
          <w:p w:rsidR="003E272C" w:rsidRPr="009A1547" w:rsidRDefault="003E272C" w:rsidP="00175519">
            <w:pPr>
              <w:jc w:val="center"/>
              <w:rPr>
                <w:rFonts w:ascii="Cambria" w:hAnsi="Cambria"/>
                <w:color w:val="000000"/>
              </w:rPr>
            </w:pPr>
            <w:r w:rsidRPr="009A1547">
              <w:rPr>
                <w:rFonts w:ascii="Cambria" w:hAnsi="Cambria"/>
                <w:color w:val="000000"/>
              </w:rPr>
              <w:t>-0,9</w:t>
            </w:r>
          </w:p>
        </w:tc>
        <w:tc>
          <w:tcPr>
            <w:tcW w:w="1384" w:type="dxa"/>
            <w:tcBorders>
              <w:top w:val="dotted" w:sz="4" w:space="0" w:color="auto"/>
              <w:left w:val="dotted" w:sz="4" w:space="0" w:color="auto"/>
              <w:bottom w:val="dotted" w:sz="4" w:space="0" w:color="auto"/>
              <w:right w:val="dotted" w:sz="4" w:space="0" w:color="auto"/>
            </w:tcBorders>
            <w:noWrap/>
            <w:vAlign w:val="center"/>
          </w:tcPr>
          <w:p w:rsidR="003E272C" w:rsidRPr="009A1547" w:rsidRDefault="003E272C" w:rsidP="00175519">
            <w:pPr>
              <w:jc w:val="center"/>
              <w:rPr>
                <w:rFonts w:ascii="Cambria" w:hAnsi="Cambria"/>
                <w:color w:val="000000"/>
              </w:rPr>
            </w:pPr>
            <w:r w:rsidRPr="009A1547">
              <w:rPr>
                <w:rFonts w:ascii="Cambria" w:hAnsi="Cambria"/>
                <w:color w:val="000000"/>
              </w:rPr>
              <w:t>-2,0</w:t>
            </w:r>
          </w:p>
        </w:tc>
      </w:tr>
      <w:tr w:rsidR="003E272C" w:rsidRPr="009A1547" w:rsidTr="00175519">
        <w:trPr>
          <w:trHeight w:val="315"/>
        </w:trPr>
        <w:tc>
          <w:tcPr>
            <w:tcW w:w="5665" w:type="dxa"/>
            <w:tcBorders>
              <w:top w:val="dotted" w:sz="4" w:space="0" w:color="auto"/>
              <w:left w:val="dotted" w:sz="4" w:space="0" w:color="auto"/>
              <w:bottom w:val="dotted" w:sz="4" w:space="0" w:color="auto"/>
              <w:right w:val="dotted" w:sz="4" w:space="0" w:color="auto"/>
            </w:tcBorders>
            <w:noWrap/>
            <w:vAlign w:val="center"/>
          </w:tcPr>
          <w:p w:rsidR="003E272C" w:rsidRPr="009A1547" w:rsidRDefault="003E272C" w:rsidP="00175519">
            <w:pPr>
              <w:rPr>
                <w:rFonts w:ascii="Cambria" w:hAnsi="Cambria"/>
                <w:color w:val="000000"/>
              </w:rPr>
            </w:pPr>
            <w:r w:rsidRPr="009A1547">
              <w:rPr>
                <w:rFonts w:ascii="Cambria" w:hAnsi="Cambria"/>
                <w:color w:val="000000"/>
              </w:rPr>
              <w:t>Index du Transport Aérien International</w:t>
            </w:r>
          </w:p>
        </w:tc>
        <w:tc>
          <w:tcPr>
            <w:tcW w:w="1276" w:type="dxa"/>
            <w:tcBorders>
              <w:top w:val="dotted" w:sz="4" w:space="0" w:color="auto"/>
              <w:left w:val="dotted" w:sz="4" w:space="0" w:color="auto"/>
              <w:bottom w:val="dotted" w:sz="4" w:space="0" w:color="auto"/>
              <w:right w:val="dotted" w:sz="4" w:space="0" w:color="auto"/>
            </w:tcBorders>
            <w:noWrap/>
            <w:vAlign w:val="center"/>
          </w:tcPr>
          <w:p w:rsidR="003E272C" w:rsidRPr="009A1547" w:rsidRDefault="003E272C" w:rsidP="00175519">
            <w:pPr>
              <w:jc w:val="center"/>
              <w:rPr>
                <w:rFonts w:ascii="Cambria" w:hAnsi="Cambria"/>
                <w:color w:val="000000"/>
              </w:rPr>
            </w:pPr>
            <w:r w:rsidRPr="009A1547">
              <w:rPr>
                <w:rFonts w:ascii="Cambria" w:hAnsi="Cambria"/>
                <w:color w:val="000000"/>
              </w:rPr>
              <w:t>93,65</w:t>
            </w:r>
          </w:p>
        </w:tc>
        <w:tc>
          <w:tcPr>
            <w:tcW w:w="1309" w:type="dxa"/>
            <w:tcBorders>
              <w:top w:val="dotted" w:sz="4" w:space="0" w:color="auto"/>
              <w:left w:val="dotted" w:sz="4" w:space="0" w:color="auto"/>
              <w:bottom w:val="dotted" w:sz="4" w:space="0" w:color="auto"/>
              <w:right w:val="dotted" w:sz="4" w:space="0" w:color="auto"/>
            </w:tcBorders>
            <w:noWrap/>
            <w:vAlign w:val="center"/>
          </w:tcPr>
          <w:p w:rsidR="003E272C" w:rsidRPr="009A1547" w:rsidRDefault="003E272C" w:rsidP="00175519">
            <w:pPr>
              <w:jc w:val="center"/>
              <w:rPr>
                <w:rFonts w:ascii="Cambria" w:hAnsi="Cambria"/>
                <w:color w:val="000000"/>
              </w:rPr>
            </w:pPr>
            <w:r w:rsidRPr="009A1547">
              <w:rPr>
                <w:rFonts w:ascii="Cambria" w:hAnsi="Cambria"/>
                <w:color w:val="000000"/>
              </w:rPr>
              <w:t>-</w:t>
            </w:r>
          </w:p>
        </w:tc>
        <w:tc>
          <w:tcPr>
            <w:tcW w:w="1384" w:type="dxa"/>
            <w:tcBorders>
              <w:top w:val="dotted" w:sz="4" w:space="0" w:color="auto"/>
              <w:left w:val="dotted" w:sz="4" w:space="0" w:color="auto"/>
              <w:bottom w:val="dotted" w:sz="4" w:space="0" w:color="auto"/>
              <w:right w:val="dotted" w:sz="4" w:space="0" w:color="auto"/>
            </w:tcBorders>
            <w:noWrap/>
            <w:vAlign w:val="center"/>
          </w:tcPr>
          <w:p w:rsidR="003E272C" w:rsidRPr="009A1547" w:rsidRDefault="003E272C" w:rsidP="00175519">
            <w:pPr>
              <w:jc w:val="center"/>
              <w:rPr>
                <w:rFonts w:ascii="Cambria" w:hAnsi="Cambria"/>
                <w:color w:val="000000"/>
              </w:rPr>
            </w:pPr>
            <w:r w:rsidRPr="009A1547">
              <w:rPr>
                <w:rFonts w:ascii="Cambria" w:hAnsi="Cambria"/>
                <w:color w:val="000000"/>
              </w:rPr>
              <w:t>-4,4</w:t>
            </w:r>
          </w:p>
        </w:tc>
      </w:tr>
    </w:tbl>
    <w:p w:rsidR="003E272C" w:rsidRPr="009A1547" w:rsidRDefault="003E272C" w:rsidP="003E272C">
      <w:pPr>
        <w:pStyle w:val="-LettreTexteGEDA"/>
        <w:spacing w:before="0"/>
        <w:rPr>
          <w:rFonts w:ascii="Cambria" w:hAnsi="Cambria"/>
          <w:noProof w:val="0"/>
          <w:szCs w:val="24"/>
        </w:rPr>
      </w:pPr>
    </w:p>
    <w:p w:rsidR="003E272C" w:rsidRDefault="003E272C" w:rsidP="003E272C">
      <w:pPr>
        <w:pStyle w:val="-LettreTexteGEDA"/>
        <w:spacing w:before="0"/>
        <w:rPr>
          <w:noProof w:val="0"/>
        </w:rPr>
      </w:pPr>
    </w:p>
    <w:p w:rsidR="009A1547" w:rsidRDefault="009A1547" w:rsidP="009A1547">
      <w:pPr>
        <w:pStyle w:val="-LettreTexteGEDA"/>
        <w:spacing w:before="0"/>
        <w:ind w:firstLine="0"/>
        <w:rPr>
          <w:rFonts w:ascii="Cambria" w:hAnsi="Cambria"/>
        </w:rPr>
      </w:pPr>
    </w:p>
    <w:p w:rsidR="003E272C" w:rsidRPr="009A1547" w:rsidRDefault="009A1547" w:rsidP="009A1547">
      <w:pPr>
        <w:pStyle w:val="-LettreTexteGEDA"/>
        <w:spacing w:before="0"/>
        <w:ind w:firstLine="0"/>
        <w:rPr>
          <w:b/>
          <w:noProof w:val="0"/>
        </w:rPr>
      </w:pPr>
      <w:r w:rsidRPr="009A1547">
        <w:rPr>
          <w:rFonts w:ascii="Cambria" w:hAnsi="Cambria"/>
          <w:b/>
        </w:rPr>
        <w:t>Avis favorable au projet de décret modifiant le code monétaire et financier</w:t>
      </w:r>
    </w:p>
    <w:p w:rsidR="003E272C" w:rsidRPr="009A1547" w:rsidRDefault="003E272C" w:rsidP="003E272C">
      <w:pPr>
        <w:pStyle w:val="-LettreTexteGEDA"/>
        <w:tabs>
          <w:tab w:val="left" w:pos="7020"/>
        </w:tabs>
        <w:ind w:firstLine="0"/>
        <w:jc w:val="left"/>
        <w:rPr>
          <w:rFonts w:ascii="Cambria" w:hAnsi="Cambria"/>
          <w:b/>
        </w:rPr>
      </w:pPr>
    </w:p>
    <w:p w:rsidR="00AB4AEB" w:rsidRDefault="003E272C" w:rsidP="009A1547">
      <w:pPr>
        <w:pStyle w:val="-LettreTexteGEDA"/>
        <w:spacing w:after="360"/>
        <w:ind w:firstLine="0"/>
        <w:rPr>
          <w:rFonts w:ascii="Cambria" w:hAnsi="Cambria"/>
          <w:bCs/>
        </w:rPr>
      </w:pPr>
      <w:r w:rsidRPr="009A1547">
        <w:rPr>
          <w:rFonts w:ascii="Cambria" w:hAnsi="Cambria"/>
        </w:rPr>
        <w:t xml:space="preserve">Le Conseil des </w:t>
      </w:r>
      <w:r w:rsidR="009A1547">
        <w:rPr>
          <w:rFonts w:ascii="Cambria" w:hAnsi="Cambria"/>
        </w:rPr>
        <w:t>m</w:t>
      </w:r>
      <w:r w:rsidRPr="009A1547">
        <w:rPr>
          <w:rFonts w:ascii="Cambria" w:hAnsi="Cambria"/>
        </w:rPr>
        <w:t xml:space="preserve">inistres a rendu un avis favorable au projet de décret modifiant le code monétaire et financier (CMF) pour relever, à titre expérimental pour une durée de quatre ans, le plafond du montant total de l’encours des prêts alloués par les associations et les fondations à 1 790 000 </w:t>
      </w:r>
      <w:r w:rsidR="009A1547" w:rsidRPr="009A1547">
        <w:rPr>
          <w:rFonts w:ascii="Cambria" w:hAnsi="Cambria"/>
        </w:rPr>
        <w:t>Fcfp</w:t>
      </w:r>
      <w:r w:rsidRPr="009A1547">
        <w:rPr>
          <w:rFonts w:ascii="Cambria" w:hAnsi="Cambria"/>
        </w:rPr>
        <w:t xml:space="preserve"> par participant et par entreprise pour un projet de création ou de développement d’entreprise</w:t>
      </w:r>
      <w:r w:rsidRPr="009A1547">
        <w:rPr>
          <w:rFonts w:ascii="Cambria" w:hAnsi="Cambria"/>
          <w:bCs/>
        </w:rPr>
        <w:t xml:space="preserve">. </w:t>
      </w:r>
    </w:p>
    <w:p w:rsidR="00DC2FD4" w:rsidRDefault="00DC2FD4" w:rsidP="00AB4AEB">
      <w:pPr>
        <w:pStyle w:val="-LettreObjetGEDA"/>
        <w:ind w:left="0" w:firstLine="0"/>
        <w:rPr>
          <w:rFonts w:ascii="Cambria" w:hAnsi="Cambria"/>
          <w:bCs/>
        </w:rPr>
      </w:pPr>
    </w:p>
    <w:p w:rsidR="00AB4AEB" w:rsidRDefault="00AB4AEB" w:rsidP="00AB4AEB">
      <w:pPr>
        <w:pStyle w:val="-LettreObjetGEDA"/>
        <w:ind w:left="0" w:firstLine="0"/>
        <w:rPr>
          <w:rFonts w:ascii="Cambria" w:hAnsi="Cambria"/>
          <w:b/>
          <w:bCs/>
          <w:szCs w:val="24"/>
          <w:lang w:eastAsia="en-US"/>
        </w:rPr>
      </w:pPr>
      <w:r>
        <w:rPr>
          <w:rFonts w:ascii="Cambria" w:hAnsi="Cambria"/>
          <w:b/>
          <w:bCs/>
        </w:rPr>
        <w:t>Suspension des délais de validité et d’instruction des autorisations de travaux immobiliers pendant la période de confinement</w:t>
      </w:r>
    </w:p>
    <w:p w:rsidR="00AB4AEB" w:rsidRDefault="00AB4AEB" w:rsidP="00AB4AEB">
      <w:pPr>
        <w:pStyle w:val="-LettreTexteGEDA"/>
        <w:spacing w:before="0"/>
        <w:ind w:firstLine="0"/>
        <w:rPr>
          <w:rFonts w:ascii="Cambria" w:hAnsi="Cambria"/>
        </w:rPr>
      </w:pPr>
    </w:p>
    <w:p w:rsidR="00AB4AEB" w:rsidRDefault="00AB4AEB" w:rsidP="00AB4AEB">
      <w:pPr>
        <w:pStyle w:val="-LettreTexteGEDA"/>
        <w:spacing w:before="0"/>
        <w:ind w:firstLine="0"/>
        <w:rPr>
          <w:rFonts w:ascii="Cambria" w:hAnsi="Cambria"/>
        </w:rPr>
      </w:pPr>
    </w:p>
    <w:p w:rsidR="00AB4AEB" w:rsidRDefault="00AB4AEB" w:rsidP="00AB4AEB">
      <w:pPr>
        <w:pStyle w:val="-LettreTexteGEDA"/>
        <w:spacing w:before="0"/>
        <w:ind w:firstLine="0"/>
        <w:rPr>
          <w:rFonts w:ascii="Cambria" w:hAnsi="Cambria"/>
        </w:rPr>
      </w:pPr>
      <w:r>
        <w:rPr>
          <w:rFonts w:ascii="Cambria" w:hAnsi="Cambria"/>
        </w:rPr>
        <w:t xml:space="preserve">Considérant la crise sanitaire de l’épidémie du covid-19 en Polynésie française, des mesures exceptionnelles ont été adoptées par l’Etat et la Polynésie française. </w:t>
      </w:r>
    </w:p>
    <w:p w:rsidR="00AB4AEB" w:rsidRDefault="00AB4AEB" w:rsidP="00AB4AEB">
      <w:pPr>
        <w:pStyle w:val="-LettreTexteGEDA"/>
        <w:spacing w:before="0"/>
        <w:rPr>
          <w:rFonts w:ascii="Cambria" w:hAnsi="Cambria"/>
        </w:rPr>
      </w:pPr>
    </w:p>
    <w:p w:rsidR="00AB4AEB" w:rsidRDefault="00AB4AEB" w:rsidP="00AB4AEB">
      <w:pPr>
        <w:pStyle w:val="-LettreTexteGEDA"/>
        <w:spacing w:before="0"/>
        <w:ind w:firstLine="0"/>
        <w:rPr>
          <w:rFonts w:ascii="Cambria" w:hAnsi="Cambria"/>
        </w:rPr>
      </w:pPr>
      <w:r>
        <w:rPr>
          <w:rFonts w:ascii="Cambria" w:hAnsi="Cambria"/>
        </w:rPr>
        <w:t>Le caractère contagieux du virus covid-19 et l’absence de traitement préventif à ce jour ont nécessité une restriction stricte des déplacements de la population et notamment tout rassemblement en dehors de ceux autorisés dans l’arrêté du haut-commissariat du 20 mars 2020 portant interdiction temporaire d’accueil du public dans les établissements recevant du public.</w:t>
      </w:r>
    </w:p>
    <w:p w:rsidR="00AB4AEB" w:rsidRDefault="00AB4AEB" w:rsidP="00AB4AEB">
      <w:pPr>
        <w:pStyle w:val="-LettreTexteGEDA"/>
        <w:spacing w:before="0"/>
        <w:rPr>
          <w:rFonts w:ascii="Cambria" w:hAnsi="Cambria"/>
        </w:rPr>
      </w:pPr>
    </w:p>
    <w:p w:rsidR="00AB4AEB" w:rsidRDefault="00AB4AEB" w:rsidP="00AB4AEB">
      <w:pPr>
        <w:pStyle w:val="-LettreTexteGEDA"/>
        <w:spacing w:before="0"/>
        <w:ind w:firstLine="0"/>
        <w:rPr>
          <w:rFonts w:ascii="Cambria" w:hAnsi="Cambria"/>
        </w:rPr>
      </w:pPr>
      <w:r>
        <w:rPr>
          <w:rFonts w:ascii="Cambria" w:hAnsi="Cambria"/>
        </w:rPr>
        <w:t>Dès lors, le Conseil des ministres a décidé de mettre en place une prorogation de délai afin de permettre aux autorisations de travaux immobiliers qui ont expiré ou qui expirent postérieurement au 20 mars 2020 de bénéficier d’un délai supplémentaire de six mois au terme de la date de cessation de l’état de crise sanitaire.</w:t>
      </w:r>
    </w:p>
    <w:p w:rsidR="00AB4AEB" w:rsidRDefault="00AB4AEB" w:rsidP="00AB4AEB">
      <w:pPr>
        <w:pStyle w:val="-LettreTexteGEDA"/>
        <w:spacing w:before="0"/>
        <w:rPr>
          <w:rFonts w:ascii="Cambria" w:hAnsi="Cambria"/>
        </w:rPr>
      </w:pPr>
    </w:p>
    <w:p w:rsidR="00AB4AEB" w:rsidRDefault="00AB4AEB" w:rsidP="00AB4AEB">
      <w:pPr>
        <w:pStyle w:val="-LettreTexteGEDA"/>
        <w:spacing w:before="0"/>
        <w:ind w:firstLine="0"/>
        <w:rPr>
          <w:rFonts w:ascii="Cambria" w:hAnsi="Cambria"/>
        </w:rPr>
      </w:pPr>
      <w:r>
        <w:rPr>
          <w:rFonts w:ascii="Cambria" w:hAnsi="Cambria"/>
        </w:rPr>
        <w:t>De même, le confinement lié au coronavirus impacte l'application des délais de procédure</w:t>
      </w:r>
      <w:r>
        <w:rPr>
          <w:rFonts w:ascii="Cambria" w:hAnsi="Cambria"/>
          <w:b/>
          <w:bCs/>
          <w:highlight w:val="yellow"/>
        </w:rPr>
        <w:t xml:space="preserve"> </w:t>
      </w:r>
      <w:r>
        <w:rPr>
          <w:rFonts w:ascii="Cambria" w:hAnsi="Cambria"/>
        </w:rPr>
        <w:t>d'instruction des demandes de permis de construire. Le Conseil des ministres a ainsi également décidé de suspendre l'ensemble des délais liés à l'instruction des demandes de travaux immobiliers à compter du 20 mars 2020 et ceux-ci reprendront leur cours au terme d’un délais de six mois à l’expiration de la date de cessation de l’état de crise sanitaire.</w:t>
      </w:r>
    </w:p>
    <w:p w:rsidR="0021634E" w:rsidRDefault="0021634E" w:rsidP="0021634E">
      <w:pPr>
        <w:pStyle w:val="-LettreTexteGEDA"/>
        <w:spacing w:before="0"/>
        <w:ind w:firstLine="0"/>
        <w:rPr>
          <w:rFonts w:ascii="Cambria" w:hAnsi="Cambria"/>
          <w:bCs/>
        </w:rPr>
      </w:pPr>
    </w:p>
    <w:p w:rsidR="00AB4AEB" w:rsidRDefault="00AB4AEB" w:rsidP="00AB4AEB">
      <w:pPr>
        <w:pStyle w:val="-LettreObjetGEDA"/>
        <w:ind w:left="0" w:firstLine="0"/>
        <w:rPr>
          <w:rFonts w:ascii="Cambria" w:hAnsi="Cambria"/>
          <w:b/>
          <w:bCs/>
          <w:szCs w:val="24"/>
        </w:rPr>
      </w:pPr>
      <w:r>
        <w:rPr>
          <w:rFonts w:ascii="Cambria" w:hAnsi="Cambria"/>
          <w:b/>
          <w:bCs/>
        </w:rPr>
        <w:t>Ouverture de l’aérodrome de Fakahina aux ATR 42</w:t>
      </w:r>
    </w:p>
    <w:p w:rsidR="00AB4AEB" w:rsidRDefault="00AB4AEB" w:rsidP="00AB4AEB">
      <w:pPr>
        <w:pStyle w:val="-LettreSuiteORefPJGEDA"/>
        <w:rPr>
          <w:rFonts w:ascii="Cambria" w:hAnsi="Cambria"/>
        </w:rPr>
      </w:pPr>
    </w:p>
    <w:p w:rsidR="00AB4AEB" w:rsidRDefault="00AB4AEB" w:rsidP="00AB4AEB">
      <w:pPr>
        <w:pStyle w:val="-LettreTexteGEDA"/>
        <w:spacing w:before="240"/>
        <w:ind w:firstLine="0"/>
        <w:rPr>
          <w:rFonts w:ascii="Cambria" w:hAnsi="Cambria"/>
        </w:rPr>
      </w:pPr>
      <w:r>
        <w:rPr>
          <w:rFonts w:ascii="Cambria" w:hAnsi="Cambria"/>
        </w:rPr>
        <w:t>Dans le cadre de la réalisation de l’objectif d’harmonisation de la desserte en ATR sur l’ensemble du Pays du schéma directeur des déplacements durables interinsulaires 2015-2025, des travaux d’extension en longueur et en largeur ont été menés à l’aérodrome de Fakahina, dans l’archipel des Tuamotu, pour se conformer aux règles en vue de permettre sa desserte en ATR 42. Les travaux, réalisés entre mai 2019 et janvier 2020, ont nécessité un budget d’environ 500 millions Fcfp</w:t>
      </w:r>
      <w:r>
        <w:rPr>
          <w:rFonts w:ascii="Cambria" w:hAnsi="Cambria"/>
          <w:lang w:eastAsia="en-US"/>
        </w:rPr>
        <w:t>.</w:t>
      </w:r>
    </w:p>
    <w:p w:rsidR="00AB4AEB" w:rsidRDefault="00AB4AEB" w:rsidP="00AB4AEB">
      <w:pPr>
        <w:pStyle w:val="-LettreTexteGEDA"/>
        <w:ind w:firstLine="0"/>
        <w:rPr>
          <w:rFonts w:ascii="Cambria" w:hAnsi="Cambria"/>
        </w:rPr>
      </w:pPr>
      <w:r>
        <w:rPr>
          <w:rFonts w:ascii="Cambria" w:hAnsi="Cambria"/>
        </w:rPr>
        <w:t xml:space="preserve">Le ministre en charge des transports interinsulaires a présenté au Conseil des ministres un arrêté autorisant l’ouverture à la circulation publique à ce type d’appareils. La desserte de Fakahina est habituellement réalisée par Air Archipels, pour le compte d’Air Tahiti, en Beechcraft ou Twin Otter. </w:t>
      </w:r>
      <w:r w:rsidRPr="00AB4AEB">
        <w:rPr>
          <w:rFonts w:ascii="Cambria" w:hAnsi="Cambria"/>
        </w:rPr>
        <w:t xml:space="preserve">A la sortie de la période de confinement, </w:t>
      </w:r>
      <w:r>
        <w:rPr>
          <w:rFonts w:ascii="Cambria" w:hAnsi="Cambria"/>
        </w:rPr>
        <w:t>Air Tahiti pourra désormais desservir Fakahina en ATR42-600 à raison de 2 à 3 vols par mois.</w:t>
      </w:r>
    </w:p>
    <w:p w:rsidR="00AB4AEB" w:rsidRPr="00EB6C85" w:rsidRDefault="00AB4AEB" w:rsidP="0021634E">
      <w:pPr>
        <w:pStyle w:val="-LettreTexteGEDA"/>
        <w:spacing w:before="0"/>
        <w:ind w:firstLine="0"/>
        <w:rPr>
          <w:rFonts w:ascii="Cambria" w:hAnsi="Cambria"/>
          <w:bCs/>
        </w:rPr>
      </w:pPr>
    </w:p>
    <w:p w:rsidR="003E272C" w:rsidRPr="00EB6C85" w:rsidRDefault="00EB6C85" w:rsidP="00EB6C85">
      <w:pPr>
        <w:pStyle w:val="-LettreTexteGEDA"/>
        <w:spacing w:after="360"/>
        <w:ind w:firstLine="0"/>
        <w:rPr>
          <w:rFonts w:ascii="Cambria" w:hAnsi="Cambria"/>
          <w:b/>
          <w:bCs/>
        </w:rPr>
      </w:pPr>
      <w:r w:rsidRPr="00EB6C85">
        <w:rPr>
          <w:rFonts w:ascii="Cambria" w:hAnsi="Cambria"/>
          <w:b/>
          <w:bCs/>
        </w:rPr>
        <w:t>Nouvelles formations au CFPA</w:t>
      </w:r>
    </w:p>
    <w:p w:rsidR="003E272C" w:rsidRPr="00EB6C85" w:rsidRDefault="00EB6C85" w:rsidP="00EB6C85">
      <w:pPr>
        <w:pStyle w:val="-LettreTexteGEDA"/>
        <w:tabs>
          <w:tab w:val="left" w:pos="7020"/>
        </w:tabs>
        <w:ind w:firstLine="0"/>
        <w:rPr>
          <w:rFonts w:ascii="Cambria" w:hAnsi="Cambria"/>
          <w:b/>
        </w:rPr>
      </w:pPr>
      <w:r w:rsidRPr="00EB6C85">
        <w:rPr>
          <w:rFonts w:ascii="Cambria" w:hAnsi="Cambria"/>
        </w:rPr>
        <w:t>Le Conseil des ministres a pris des arrêtés rendant exécutoire des délibérations du conseil d’administration du CFPA (</w:t>
      </w:r>
      <w:r w:rsidRPr="00EB6C85">
        <w:rPr>
          <w:rFonts w:ascii="Cambria" w:hAnsi="Cambria"/>
          <w:noProof w:val="0"/>
        </w:rPr>
        <w:t>Cent</w:t>
      </w:r>
      <w:r>
        <w:rPr>
          <w:rFonts w:ascii="Cambria" w:hAnsi="Cambria"/>
          <w:noProof w:val="0"/>
        </w:rPr>
        <w:t>re de Formation Professionnelle</w:t>
      </w:r>
      <w:r w:rsidRPr="00EB6C85">
        <w:rPr>
          <w:rFonts w:ascii="Cambria" w:hAnsi="Cambria"/>
          <w:noProof w:val="0"/>
        </w:rPr>
        <w:t xml:space="preserve"> des Adultes) portant sur la création de nouvelles formations.</w:t>
      </w:r>
    </w:p>
    <w:p w:rsidR="003E272C" w:rsidRPr="00EB6C85" w:rsidRDefault="003E272C" w:rsidP="00EB6C85">
      <w:pPr>
        <w:pStyle w:val="-LettreTexteGEDA"/>
        <w:ind w:firstLine="0"/>
        <w:rPr>
          <w:rFonts w:ascii="Cambria" w:hAnsi="Cambria"/>
          <w:noProof w:val="0"/>
        </w:rPr>
      </w:pPr>
      <w:r w:rsidRPr="00EB6C85">
        <w:rPr>
          <w:rFonts w:ascii="Cambria" w:hAnsi="Cambria"/>
          <w:noProof w:val="0"/>
        </w:rPr>
        <w:t xml:space="preserve">Suite à la création de la Cellule Conduite Automobile, le CFPA </w:t>
      </w:r>
      <w:r w:rsidR="00EB6C85" w:rsidRPr="00EB6C85">
        <w:rPr>
          <w:rFonts w:ascii="Cambria" w:hAnsi="Cambria"/>
          <w:noProof w:val="0"/>
        </w:rPr>
        <w:t xml:space="preserve">va ainsi </w:t>
      </w:r>
      <w:r w:rsidRPr="00EB6C85">
        <w:rPr>
          <w:rFonts w:ascii="Cambria" w:hAnsi="Cambria"/>
          <w:noProof w:val="0"/>
        </w:rPr>
        <w:t>propose</w:t>
      </w:r>
      <w:r w:rsidR="00EB6C85" w:rsidRPr="00EB6C85">
        <w:rPr>
          <w:rFonts w:ascii="Cambria" w:hAnsi="Cambria"/>
          <w:noProof w:val="0"/>
        </w:rPr>
        <w:t>s</w:t>
      </w:r>
      <w:r w:rsidRPr="00EB6C85">
        <w:rPr>
          <w:rFonts w:ascii="Cambria" w:hAnsi="Cambria"/>
          <w:noProof w:val="0"/>
        </w:rPr>
        <w:t xml:space="preserve"> une formation « Eco-conduite », à la demande de sociétés privées. Cette formation </w:t>
      </w:r>
      <w:r w:rsidR="00EB6C85" w:rsidRPr="00EB6C85">
        <w:rPr>
          <w:rFonts w:ascii="Cambria" w:hAnsi="Cambria"/>
          <w:noProof w:val="0"/>
        </w:rPr>
        <w:t xml:space="preserve">sera </w:t>
      </w:r>
      <w:r w:rsidRPr="00EB6C85">
        <w:rPr>
          <w:rFonts w:ascii="Cambria" w:hAnsi="Cambria"/>
          <w:noProof w:val="0"/>
        </w:rPr>
        <w:t>dispensée par un agent compétent dans ce domaine, en la personne de la responsable de la cellule.</w:t>
      </w:r>
    </w:p>
    <w:p w:rsidR="003E272C" w:rsidRPr="00EB6C85" w:rsidRDefault="003E272C" w:rsidP="00EB6C85">
      <w:pPr>
        <w:pStyle w:val="-LettreTexteGEDA"/>
        <w:ind w:firstLine="0"/>
        <w:rPr>
          <w:rFonts w:ascii="Cambria" w:hAnsi="Cambria"/>
          <w:noProof w:val="0"/>
        </w:rPr>
      </w:pPr>
      <w:r w:rsidRPr="00EB6C85">
        <w:rPr>
          <w:rFonts w:ascii="Cambria" w:hAnsi="Cambria"/>
          <w:noProof w:val="0"/>
        </w:rPr>
        <w:t>La formation « éco-conduite » a pour but de sensibiliser les conducteurs aux enjeux du développement durable et de la sécurité routière, tout en prenant conscience de l’impact des comportements routiers ainsi que la surconsommation de carburant. Ainsi, elle permettra au quotidien une conduite économique et écologique tout en réduisant le risque routier.</w:t>
      </w:r>
    </w:p>
    <w:p w:rsidR="003E272C" w:rsidRPr="00EB6C85" w:rsidRDefault="003E272C" w:rsidP="00EB6C85">
      <w:pPr>
        <w:pStyle w:val="-LettreTexteGEDA"/>
        <w:ind w:firstLine="0"/>
        <w:rPr>
          <w:rFonts w:ascii="Cambria" w:hAnsi="Cambria"/>
          <w:noProof w:val="0"/>
        </w:rPr>
      </w:pPr>
      <w:r w:rsidRPr="00EB6C85">
        <w:rPr>
          <w:rFonts w:ascii="Cambria" w:hAnsi="Cambria"/>
          <w:noProof w:val="0"/>
        </w:rPr>
        <w:t>Actuellement le CFPA est le seul à proposer cette formation sur le territoire et s’est doté</w:t>
      </w:r>
      <w:r w:rsidR="00EB6C85" w:rsidRPr="00EB6C85">
        <w:rPr>
          <w:rFonts w:ascii="Cambria" w:hAnsi="Cambria"/>
          <w:noProof w:val="0"/>
        </w:rPr>
        <w:t>, en ce sens,</w:t>
      </w:r>
      <w:r w:rsidRPr="00EB6C85">
        <w:rPr>
          <w:rFonts w:ascii="Cambria" w:hAnsi="Cambria"/>
          <w:noProof w:val="0"/>
        </w:rPr>
        <w:t xml:space="preserve"> d’un économètre. Cet outil une fois branché au véhicule, mesure la consommation en carburant lors d’un déplacement.</w:t>
      </w:r>
    </w:p>
    <w:p w:rsidR="003E272C" w:rsidRPr="00EB6C85" w:rsidRDefault="003E272C" w:rsidP="00EB6C85">
      <w:pPr>
        <w:pStyle w:val="-LettreTexteGEDA"/>
        <w:ind w:firstLine="0"/>
        <w:rPr>
          <w:rFonts w:ascii="Cambria" w:hAnsi="Cambria"/>
          <w:noProof w:val="0"/>
        </w:rPr>
      </w:pPr>
      <w:r w:rsidRPr="00EB6C85">
        <w:rPr>
          <w:rFonts w:ascii="Cambria" w:hAnsi="Cambria"/>
          <w:noProof w:val="0"/>
        </w:rPr>
        <w:t xml:space="preserve">Le CFPA </w:t>
      </w:r>
      <w:r w:rsidR="00EB6C85" w:rsidRPr="00EB6C85">
        <w:rPr>
          <w:rFonts w:ascii="Cambria" w:hAnsi="Cambria"/>
          <w:noProof w:val="0"/>
        </w:rPr>
        <w:t>va également</w:t>
      </w:r>
      <w:r w:rsidRPr="00EB6C85">
        <w:rPr>
          <w:rFonts w:ascii="Cambria" w:hAnsi="Cambria"/>
          <w:noProof w:val="0"/>
        </w:rPr>
        <w:t xml:space="preserve"> mettre en place</w:t>
      </w:r>
      <w:r w:rsidR="00EB6C85" w:rsidRPr="00EB6C85">
        <w:rPr>
          <w:rFonts w:ascii="Cambria" w:hAnsi="Cambria"/>
          <w:noProof w:val="0"/>
        </w:rPr>
        <w:t>,</w:t>
      </w:r>
      <w:r w:rsidRPr="00EB6C85">
        <w:rPr>
          <w:rFonts w:ascii="Cambria" w:hAnsi="Cambria"/>
          <w:noProof w:val="0"/>
        </w:rPr>
        <w:t xml:space="preserve"> à la demande d’entreprises, une formation qui aidera les donneur</w:t>
      </w:r>
      <w:r w:rsidR="00EB6C85" w:rsidRPr="00EB6C85">
        <w:rPr>
          <w:rFonts w:ascii="Cambria" w:hAnsi="Cambria"/>
          <w:noProof w:val="0"/>
        </w:rPr>
        <w:t>s d’ordre</w:t>
      </w:r>
      <w:r w:rsidRPr="00EB6C85">
        <w:rPr>
          <w:rFonts w:ascii="Cambria" w:hAnsi="Cambria"/>
          <w:noProof w:val="0"/>
        </w:rPr>
        <w:t xml:space="preserve"> à comprendre les risques liés à l’amiante, </w:t>
      </w:r>
      <w:r w:rsidR="00EB6C85" w:rsidRPr="00EB6C85">
        <w:rPr>
          <w:rFonts w:ascii="Cambria" w:hAnsi="Cambria"/>
          <w:noProof w:val="0"/>
        </w:rPr>
        <w:t xml:space="preserve">à </w:t>
      </w:r>
      <w:r w:rsidRPr="00EB6C85">
        <w:rPr>
          <w:rFonts w:ascii="Cambria" w:hAnsi="Cambria"/>
          <w:noProof w:val="0"/>
        </w:rPr>
        <w:t>passer des commandes adaptées et pouvoir analyser les rapports de diagnostic</w:t>
      </w:r>
      <w:r w:rsidR="00EB6C85" w:rsidRPr="00EB6C85">
        <w:rPr>
          <w:rFonts w:ascii="Cambria" w:hAnsi="Cambria"/>
          <w:noProof w:val="0"/>
        </w:rPr>
        <w:t>, en rapport avec cette thématique. Cette formation</w:t>
      </w:r>
      <w:r w:rsidRPr="00EB6C85">
        <w:rPr>
          <w:rFonts w:ascii="Cambria" w:hAnsi="Cambria"/>
          <w:noProof w:val="0"/>
        </w:rPr>
        <w:t xml:space="preserve"> les aidera à être en conformité avec la réglementation locale.</w:t>
      </w:r>
    </w:p>
    <w:p w:rsidR="003E272C" w:rsidRPr="00EB6C85" w:rsidRDefault="003E272C" w:rsidP="003E272C">
      <w:pPr>
        <w:pStyle w:val="-LettreTexteGEDA"/>
        <w:tabs>
          <w:tab w:val="left" w:pos="7020"/>
        </w:tabs>
        <w:ind w:firstLine="0"/>
        <w:jc w:val="left"/>
        <w:rPr>
          <w:rFonts w:ascii="Cambria" w:hAnsi="Cambria"/>
          <w:b/>
        </w:rPr>
      </w:pPr>
    </w:p>
    <w:p w:rsidR="00DC2FD4" w:rsidRDefault="00DC2FD4" w:rsidP="00DC2FD4">
      <w:pPr>
        <w:spacing w:after="240"/>
        <w:jc w:val="both"/>
        <w:rPr>
          <w:rFonts w:ascii="Cambria" w:hAnsi="Cambria"/>
          <w:b/>
          <w:bCs/>
          <w:lang w:eastAsia="fr-FR"/>
        </w:rPr>
      </w:pPr>
      <w:r>
        <w:rPr>
          <w:rFonts w:ascii="Cambria" w:hAnsi="Cambria"/>
          <w:b/>
          <w:bCs/>
        </w:rPr>
        <w:t>Point d’étape de la DSFE dans le cadre des nouvelles dispositions liées au COVID-19</w:t>
      </w:r>
    </w:p>
    <w:p w:rsidR="00DC2FD4" w:rsidRDefault="00DC2FD4" w:rsidP="00DC2FD4">
      <w:pPr>
        <w:pStyle w:val="-LettreTexteGEDA"/>
        <w:spacing w:before="0"/>
        <w:ind w:firstLine="0"/>
        <w:rPr>
          <w:rFonts w:ascii="Cambria" w:hAnsi="Cambria"/>
        </w:rPr>
      </w:pPr>
      <w:r>
        <w:rPr>
          <w:rFonts w:ascii="Cambria" w:hAnsi="Cambria"/>
        </w:rPr>
        <w:t xml:space="preserve">Compte tenu de l’épidémie de COVID-19, de nouvelles dispositions ont été prises par la DSFE au but de préserver la population et les agents, telles que la mise en place d’un système de prise en charge du public en « back office » dans toutes les antennes, la désinfection régulière des lieux d’accueil et l’application stricte des mesures barrières. </w:t>
      </w:r>
    </w:p>
    <w:p w:rsidR="00DC2FD4" w:rsidRDefault="00DC2FD4" w:rsidP="00DC2FD4">
      <w:pPr>
        <w:pStyle w:val="-LettreTexteGEDA"/>
        <w:spacing w:before="0"/>
        <w:ind w:firstLine="0"/>
        <w:rPr>
          <w:rFonts w:ascii="Cambria" w:hAnsi="Cambria"/>
        </w:rPr>
      </w:pPr>
    </w:p>
    <w:p w:rsidR="00DC2FD4" w:rsidRDefault="00DC2FD4" w:rsidP="00DC2FD4">
      <w:pPr>
        <w:pStyle w:val="-LettreTexteGEDA"/>
        <w:spacing w:before="0"/>
        <w:ind w:firstLine="0"/>
        <w:rPr>
          <w:rFonts w:ascii="Cambria" w:hAnsi="Cambria"/>
        </w:rPr>
      </w:pPr>
      <w:r>
        <w:rPr>
          <w:rFonts w:ascii="Cambria" w:hAnsi="Cambria"/>
        </w:rPr>
        <w:t>Les effectifs de tous les services de la DSFE ont considérablement été diminués au vu du confinement général. Avec une moyenne de 3 agents par circonscription, la DSFE fait actuellement face à des demandes journalières massives.</w:t>
      </w:r>
    </w:p>
    <w:p w:rsidR="00DC2FD4" w:rsidRDefault="00DC2FD4" w:rsidP="00DC2FD4">
      <w:pPr>
        <w:pStyle w:val="-LettreTexteGEDA"/>
        <w:spacing w:before="0"/>
        <w:rPr>
          <w:rFonts w:ascii="Cambria" w:hAnsi="Cambria"/>
        </w:rPr>
      </w:pPr>
    </w:p>
    <w:p w:rsidR="00DC2FD4" w:rsidRDefault="00DC2FD4" w:rsidP="00DC2FD4">
      <w:pPr>
        <w:pStyle w:val="-LettreTexteGEDA"/>
        <w:spacing w:before="0"/>
        <w:ind w:firstLine="0"/>
        <w:rPr>
          <w:rFonts w:ascii="Cambria" w:hAnsi="Cambria"/>
        </w:rPr>
      </w:pPr>
      <w:r>
        <w:rPr>
          <w:rFonts w:ascii="Cambria" w:hAnsi="Cambria"/>
        </w:rPr>
        <w:t xml:space="preserve">En effet, cette situation de crise mobilise activement tous les travailleurs sociaux autour de l’attribution des aides sociales. Près de 1773 aides ont été validées pour l’ensemble des 3 régimes de protection sociale depuis le début de la crise, pour un montant total de 80 523 676 Fcfp. Le régime de solidarité de Polynésie française est le plus sollicité avec 1542 aides, alors que le régime des salariés et des non salariés n’en comptabilisent respectivement que 23 et 208. </w:t>
      </w:r>
    </w:p>
    <w:p w:rsidR="00DC2FD4" w:rsidRDefault="00DC2FD4" w:rsidP="00DC2FD4">
      <w:pPr>
        <w:pStyle w:val="-LettreTexteGEDA"/>
        <w:spacing w:before="0"/>
        <w:ind w:firstLine="0"/>
        <w:rPr>
          <w:rFonts w:ascii="Cambria" w:hAnsi="Cambria"/>
        </w:rPr>
      </w:pPr>
    </w:p>
    <w:p w:rsidR="00DC2FD4" w:rsidRDefault="00DC2FD4" w:rsidP="00DC2FD4">
      <w:pPr>
        <w:pStyle w:val="-LettreTexteGEDA"/>
        <w:spacing w:before="0"/>
        <w:ind w:firstLine="0"/>
        <w:rPr>
          <w:rFonts w:ascii="Cambria" w:hAnsi="Cambria"/>
        </w:rPr>
      </w:pPr>
      <w:r>
        <w:rPr>
          <w:rFonts w:ascii="Cambria" w:hAnsi="Cambria"/>
        </w:rPr>
        <w:t>Les aides les plus octroyées sont esentiellement celles à visée alimentaire et d’hygiène. Les fonds inhérents à ces deux volets représentent un montant total de 70 935 159 Fcfp. Les 9 588 517 Fcfp supplémentaires correspondent aux aides diverses en matière vestimentaire, de logement et d’énergie.</w:t>
      </w:r>
    </w:p>
    <w:p w:rsidR="00DC2FD4" w:rsidRDefault="00DC2FD4" w:rsidP="00DC2FD4">
      <w:pPr>
        <w:pStyle w:val="-LettreTexteGEDA"/>
        <w:spacing w:before="0"/>
        <w:ind w:firstLine="0"/>
        <w:rPr>
          <w:rFonts w:ascii="Cambria" w:hAnsi="Cambria"/>
        </w:rPr>
      </w:pPr>
    </w:p>
    <w:p w:rsidR="00DC2FD4" w:rsidRDefault="00DC2FD4" w:rsidP="00DC2FD4">
      <w:pPr>
        <w:pStyle w:val="-LettreTexteGEDA"/>
        <w:spacing w:before="0"/>
        <w:ind w:firstLine="0"/>
        <w:rPr>
          <w:rFonts w:ascii="Cambria" w:hAnsi="Cambria"/>
        </w:rPr>
      </w:pPr>
      <w:r>
        <w:rPr>
          <w:rFonts w:ascii="Cambria" w:hAnsi="Cambria"/>
        </w:rPr>
        <w:t>Ces éléments serviront de base à de nouvelles réfléxions dans le cadre de la lutte contre la précarité.</w:t>
      </w:r>
    </w:p>
    <w:p w:rsidR="00DC2FD4" w:rsidRDefault="00DC2FD4" w:rsidP="00DC2FD4">
      <w:pPr>
        <w:pStyle w:val="-LettreTexteGEDA"/>
        <w:spacing w:before="0"/>
        <w:ind w:firstLine="0"/>
        <w:rPr>
          <w:rFonts w:ascii="Cambria" w:hAnsi="Cambria"/>
        </w:rPr>
      </w:pPr>
    </w:p>
    <w:p w:rsidR="00DC2FD4" w:rsidRDefault="00DC2FD4" w:rsidP="00DC2FD4">
      <w:pPr>
        <w:rPr>
          <w:rFonts w:ascii="Cambria" w:hAnsi="Cambria"/>
          <w:sz w:val="22"/>
          <w:szCs w:val="22"/>
          <w:lang w:eastAsia="en-US"/>
        </w:rPr>
      </w:pPr>
    </w:p>
    <w:p w:rsidR="00DC2FD4" w:rsidRDefault="00DC2FD4" w:rsidP="00DC2FD4">
      <w:pPr>
        <w:rPr>
          <w:rFonts w:ascii="Cambria" w:hAnsi="Cambria"/>
          <w:sz w:val="22"/>
          <w:szCs w:val="22"/>
          <w:lang w:eastAsia="en-US"/>
        </w:rPr>
      </w:pPr>
    </w:p>
    <w:p w:rsidR="00DC2FD4" w:rsidRDefault="00DC2FD4" w:rsidP="00DC2FD4">
      <w:pPr>
        <w:spacing w:after="240"/>
        <w:jc w:val="both"/>
        <w:rPr>
          <w:rFonts w:ascii="Cambria" w:hAnsi="Cambria"/>
          <w:b/>
          <w:bCs/>
          <w:lang w:eastAsia="fr-FR"/>
        </w:rPr>
      </w:pPr>
      <w:r>
        <w:rPr>
          <w:rFonts w:ascii="Cambria" w:hAnsi="Cambria"/>
          <w:b/>
          <w:bCs/>
        </w:rPr>
        <w:t>Point d’étape de la prise en charge des personnes sans-abri confinées</w:t>
      </w:r>
    </w:p>
    <w:p w:rsidR="00DC2FD4" w:rsidRDefault="00DC2FD4" w:rsidP="00DC2FD4">
      <w:pPr>
        <w:pStyle w:val="NormalWeb"/>
        <w:jc w:val="both"/>
        <w:rPr>
          <w:rFonts w:ascii="Cambria" w:hAnsi="Cambria"/>
        </w:rPr>
      </w:pPr>
      <w:r>
        <w:rPr>
          <w:rFonts w:ascii="Cambria" w:hAnsi="Cambria"/>
        </w:rPr>
        <w:t>Face à l’épidémie de COVID-19, la Direction des solidarités, de la famille et de l’égalité (DSFE) a fait preuve d’une grande réactivité pour préserver les personnes sans-abri de tout risque de contamination.</w:t>
      </w:r>
    </w:p>
    <w:p w:rsidR="00DC2FD4" w:rsidRDefault="00DC2FD4" w:rsidP="00DC2FD4">
      <w:pPr>
        <w:jc w:val="both"/>
        <w:rPr>
          <w:rFonts w:ascii="Cambria" w:hAnsi="Cambria"/>
        </w:rPr>
      </w:pPr>
      <w:r>
        <w:rPr>
          <w:rFonts w:ascii="Cambria" w:hAnsi="Cambria"/>
        </w:rPr>
        <w:t xml:space="preserve">La mise à disposition de plusieurs matelas et nécessaire de couchage (coussins, draps, couvertures…) ainsi que des produits d’hygiène a pu être réalisée dès l’annonce du confinement général. Compte tenu de l’urgence, ces premiers achats en équipement ont été effectués par la DSFE qui a investi 5 931 409 </w:t>
      </w:r>
      <w:proofErr w:type="spellStart"/>
      <w:r>
        <w:rPr>
          <w:rFonts w:ascii="Cambria" w:hAnsi="Cambria"/>
        </w:rPr>
        <w:t>Fcfp</w:t>
      </w:r>
      <w:proofErr w:type="spellEnd"/>
      <w:r>
        <w:rPr>
          <w:rFonts w:ascii="Cambria" w:hAnsi="Cambria"/>
        </w:rPr>
        <w:t xml:space="preserve"> dans ces opérations. </w:t>
      </w:r>
    </w:p>
    <w:p w:rsidR="00DC2FD4" w:rsidRDefault="00DC2FD4" w:rsidP="00DC2FD4">
      <w:pPr>
        <w:jc w:val="both"/>
        <w:rPr>
          <w:rFonts w:ascii="Cambria" w:hAnsi="Cambria"/>
        </w:rPr>
      </w:pPr>
    </w:p>
    <w:p w:rsidR="00DC2FD4" w:rsidRDefault="00DC2FD4" w:rsidP="00DC2FD4">
      <w:pPr>
        <w:jc w:val="both"/>
        <w:rPr>
          <w:rFonts w:ascii="Cambria" w:hAnsi="Cambria"/>
        </w:rPr>
      </w:pPr>
      <w:r>
        <w:rPr>
          <w:rFonts w:ascii="Cambria" w:hAnsi="Cambria"/>
        </w:rPr>
        <w:t xml:space="preserve">Le concours des municipalités, des services du Pays, des associations et confessions religieuses a également été très précieux car il a permis d’identifier et de réaménager 4 sites en centre d’accueil d’urgence pour la prise en charge de cette frange de la population, avec les salles omnisports Bambridge et </w:t>
      </w:r>
      <w:proofErr w:type="spellStart"/>
      <w:r>
        <w:rPr>
          <w:rFonts w:ascii="Cambria" w:hAnsi="Cambria"/>
        </w:rPr>
        <w:t>Ateivi</w:t>
      </w:r>
      <w:proofErr w:type="spellEnd"/>
      <w:r>
        <w:rPr>
          <w:rFonts w:ascii="Cambria" w:hAnsi="Cambria"/>
        </w:rPr>
        <w:t xml:space="preserve">, une salle mise à disposition par l’Eglise protestante à Pirae, le lycée Paul Gauguin, en plus du centre d’hébergement d’urgence (CHU) existant de </w:t>
      </w:r>
      <w:proofErr w:type="spellStart"/>
      <w:r>
        <w:rPr>
          <w:rFonts w:ascii="Cambria" w:hAnsi="Cambria"/>
        </w:rPr>
        <w:t>Tipaerui</w:t>
      </w:r>
      <w:proofErr w:type="spellEnd"/>
      <w:r>
        <w:rPr>
          <w:rFonts w:ascii="Cambria" w:hAnsi="Cambria"/>
        </w:rPr>
        <w:t>. A ce jour, près de 150 personnes sans-abri sont confinées dans ces 5 structures.</w:t>
      </w:r>
    </w:p>
    <w:p w:rsidR="00DC2FD4" w:rsidRDefault="00DC2FD4" w:rsidP="00DC2FD4">
      <w:pPr>
        <w:jc w:val="both"/>
        <w:rPr>
          <w:rFonts w:ascii="Cambria" w:hAnsi="Cambria"/>
        </w:rPr>
      </w:pPr>
    </w:p>
    <w:p w:rsidR="00DC2FD4" w:rsidRDefault="00DC2FD4" w:rsidP="00DC2FD4">
      <w:pPr>
        <w:jc w:val="both"/>
        <w:rPr>
          <w:rFonts w:ascii="Cambria" w:hAnsi="Cambria"/>
        </w:rPr>
      </w:pPr>
      <w:r>
        <w:rPr>
          <w:rFonts w:ascii="Cambria" w:hAnsi="Cambria"/>
        </w:rPr>
        <w:lastRenderedPageBreak/>
        <w:t>Progressivement, des activités collectives ont été instaurées sur chaque site pour les aider et les soutenir face aux difficultés rencontrées (besoin de sortir, rivalité de clans, agressivité latente).</w:t>
      </w:r>
    </w:p>
    <w:p w:rsidR="00DC2FD4" w:rsidRDefault="00DC2FD4" w:rsidP="00DC2FD4">
      <w:pPr>
        <w:jc w:val="both"/>
        <w:rPr>
          <w:rFonts w:ascii="Cambria" w:hAnsi="Cambria"/>
        </w:rPr>
      </w:pPr>
    </w:p>
    <w:p w:rsidR="00DC2FD4" w:rsidRDefault="00DC2FD4" w:rsidP="00DC2FD4">
      <w:pPr>
        <w:jc w:val="both"/>
        <w:rPr>
          <w:rFonts w:ascii="Cambria" w:hAnsi="Cambria"/>
        </w:rPr>
      </w:pPr>
      <w:r>
        <w:rPr>
          <w:rFonts w:ascii="Cambria" w:hAnsi="Cambria"/>
        </w:rPr>
        <w:t>Aujourd’hui, le nombre de personnes sans-abri confinées commence à se stabiliser, et un accompagnement quotidien permet d’ajuster la prise en charge sociale au gré des besoins de chacun. Les agents de santé, les agents communaux de Papeete et les travailleurs sociaux de la DSFE œuvrent activement chaque jour auprès de ce public vulnérable. Une cellule de coordination permet de rassembler tous ces professionnels pour une meilleure continuité de service.</w:t>
      </w:r>
    </w:p>
    <w:p w:rsidR="00DC2FD4" w:rsidRDefault="00DC2FD4" w:rsidP="00DC2FD4">
      <w:pPr>
        <w:jc w:val="both"/>
        <w:rPr>
          <w:rFonts w:ascii="Cambria" w:hAnsi="Cambria"/>
        </w:rPr>
      </w:pPr>
    </w:p>
    <w:p w:rsidR="00B94AFD" w:rsidRDefault="00B94AFD" w:rsidP="00B94AFD">
      <w:pPr>
        <w:pStyle w:val="-LettreObjetGEDA"/>
        <w:ind w:left="0" w:firstLine="0"/>
        <w:rPr>
          <w:rFonts w:ascii="Cambria" w:hAnsi="Cambria"/>
          <w:b/>
          <w:bCs/>
          <w:szCs w:val="24"/>
        </w:rPr>
      </w:pPr>
      <w:r>
        <w:rPr>
          <w:rFonts w:ascii="Cambria" w:hAnsi="Cambria"/>
          <w:b/>
          <w:bCs/>
        </w:rPr>
        <w:t>Suspension de l’obligation de demande de renouvellement des droits aux prestations aux enfants et adultes handicapés pendant l’épidémie du virus COVID-19</w:t>
      </w:r>
    </w:p>
    <w:p w:rsidR="00B94AFD" w:rsidRDefault="00B94AFD" w:rsidP="00B94AFD">
      <w:pPr>
        <w:rPr>
          <w:rFonts w:ascii="Cambria" w:hAnsi="Cambria"/>
        </w:rPr>
      </w:pPr>
    </w:p>
    <w:p w:rsidR="00B94AFD" w:rsidRDefault="00B94AFD" w:rsidP="00B94AFD">
      <w:pPr>
        <w:pStyle w:val="Titre9"/>
        <w:numPr>
          <w:ilvl w:val="0"/>
          <w:numId w:val="0"/>
        </w:numPr>
        <w:rPr>
          <w:rFonts w:ascii="Cambria" w:hAnsi="Cambria"/>
          <w:szCs w:val="24"/>
        </w:rPr>
      </w:pPr>
      <w:r>
        <w:rPr>
          <w:rFonts w:ascii="Cambria" w:hAnsi="Cambria"/>
        </w:rPr>
        <w:t>Le Conseil des ministres a adopté un arrêté permettant d’assurer la continuité des prestations servies aux personnes handicapées.</w:t>
      </w:r>
    </w:p>
    <w:p w:rsidR="00B94AFD" w:rsidRDefault="00B94AFD" w:rsidP="00B94AFD">
      <w:pPr>
        <w:pStyle w:val="-LettreTexteGEDA"/>
        <w:ind w:firstLine="0"/>
        <w:rPr>
          <w:rFonts w:ascii="Cambria" w:hAnsi="Cambria"/>
          <w:lang w:eastAsia="en-US"/>
        </w:rPr>
      </w:pPr>
      <w:r>
        <w:rPr>
          <w:rFonts w:ascii="Cambria" w:hAnsi="Cambria"/>
          <w:lang w:eastAsia="en-US"/>
        </w:rPr>
        <w:t>Les allocations servies aux parents d’enfants handicapés et les allocataires adultes sont dispensés, le temps de la crise sanitaire liée au virus COVID-19, d’effectuer les démarches administratives nécessaires pour demander le renouvellement tous les cinq ans de leurs prestations.</w:t>
      </w:r>
    </w:p>
    <w:p w:rsidR="00B94AFD" w:rsidRDefault="00B94AFD" w:rsidP="00B94AFD">
      <w:pPr>
        <w:pStyle w:val="-LettreTexteGEDA"/>
        <w:ind w:firstLine="0"/>
        <w:rPr>
          <w:rFonts w:ascii="Cambria" w:hAnsi="Cambria"/>
        </w:rPr>
      </w:pPr>
      <w:r>
        <w:rPr>
          <w:rFonts w:ascii="Cambria" w:hAnsi="Cambria"/>
        </w:rPr>
        <w:t>Cette mesure temporaire s’applique aux titulaires de prestations dont les droits prennent fin à compter du 12 mars 2020, date du prononcé du confinement par les autorités de l’Etat, ou ont pris fin antérieurement mais n’ont pas encore été renouvelés, notamment parce qu’ils n’ont pas encore été traités par les secrétariats respectifs de la CTES et de la COTOREP ;</w:t>
      </w:r>
    </w:p>
    <w:p w:rsidR="00B94AFD" w:rsidRDefault="00B94AFD" w:rsidP="00B94AFD">
      <w:pPr>
        <w:pStyle w:val="Titre9"/>
        <w:numPr>
          <w:ilvl w:val="0"/>
          <w:numId w:val="0"/>
        </w:numPr>
        <w:rPr>
          <w:rFonts w:ascii="Cambria" w:hAnsi="Cambria"/>
        </w:rPr>
      </w:pPr>
      <w:r>
        <w:rPr>
          <w:rFonts w:ascii="Cambria" w:hAnsi="Cambria"/>
        </w:rPr>
        <w:t>Dans le délai d’un mois à compter de la date de cessation de l’état d'urgence sanitaire, les intéressés effectueront, pour obtenir le renouvellement effectif de leurs droits, les formalités requises et saisiront la DSFE ou la DGEE d’une demande de renouvellement qui sera soumise à l’avis de la commission compétente (CTES ou COTOREP).</w:t>
      </w:r>
    </w:p>
    <w:p w:rsidR="00DC2FD4" w:rsidRDefault="00B94AFD" w:rsidP="00B94AFD">
      <w:pPr>
        <w:pStyle w:val="-LettreTexteGEDA"/>
        <w:ind w:firstLine="0"/>
        <w:rPr>
          <w:rFonts w:ascii="Cambria" w:hAnsi="Cambria"/>
        </w:rPr>
      </w:pPr>
      <w:r>
        <w:rPr>
          <w:rFonts w:ascii="Cambria" w:hAnsi="Cambria"/>
        </w:rPr>
        <w:t>Les allocataires de l’allocation aux adultes handicapés pouvant se prévaloir d’un taux de handicap supérieur à 80% et dont l’état est reconnu comme revêtant un caractère irréversible en seront dispensés.</w:t>
      </w:r>
    </w:p>
    <w:p w:rsidR="00B94AFD" w:rsidRDefault="00B94AFD" w:rsidP="00DC2FD4">
      <w:pPr>
        <w:jc w:val="both"/>
        <w:rPr>
          <w:rFonts w:ascii="Cambria" w:hAnsi="Cambria"/>
          <w:b/>
          <w:bCs/>
        </w:rPr>
      </w:pPr>
    </w:p>
    <w:p w:rsidR="00B94AFD" w:rsidRDefault="00B94AFD" w:rsidP="00DC2FD4">
      <w:pPr>
        <w:jc w:val="both"/>
        <w:rPr>
          <w:rFonts w:ascii="Cambria" w:hAnsi="Cambria"/>
          <w:b/>
          <w:bCs/>
        </w:rPr>
      </w:pPr>
    </w:p>
    <w:p w:rsidR="00B94AFD" w:rsidRDefault="00B94AFD" w:rsidP="00DC2FD4">
      <w:pPr>
        <w:jc w:val="both"/>
        <w:rPr>
          <w:rFonts w:ascii="Cambria" w:hAnsi="Cambria"/>
          <w:b/>
          <w:bCs/>
        </w:rPr>
      </w:pPr>
    </w:p>
    <w:p w:rsidR="00DC2FD4" w:rsidRDefault="00DC2FD4" w:rsidP="00DC2FD4">
      <w:pPr>
        <w:jc w:val="both"/>
        <w:rPr>
          <w:rFonts w:ascii="Cambria" w:hAnsi="Cambria"/>
          <w:b/>
          <w:bCs/>
        </w:rPr>
      </w:pPr>
      <w:r>
        <w:rPr>
          <w:rFonts w:ascii="Cambria" w:hAnsi="Cambria"/>
          <w:b/>
          <w:bCs/>
        </w:rPr>
        <w:t>Dispositions relatives à la mise à disposition de certains médicaments dans le cadre de la lutte contre la propagation du Covid-19</w:t>
      </w:r>
    </w:p>
    <w:p w:rsidR="00DC2FD4" w:rsidRDefault="00DC2FD4" w:rsidP="00DC2FD4">
      <w:pPr>
        <w:rPr>
          <w:rFonts w:ascii="Cambria" w:hAnsi="Cambria"/>
        </w:rPr>
      </w:pPr>
    </w:p>
    <w:p w:rsidR="00DC2FD4" w:rsidRDefault="00DC2FD4" w:rsidP="00DC2FD4">
      <w:pPr>
        <w:jc w:val="both"/>
        <w:rPr>
          <w:rFonts w:ascii="Cambria" w:hAnsi="Cambria"/>
        </w:rPr>
      </w:pPr>
      <w:r>
        <w:rPr>
          <w:rFonts w:ascii="Cambria" w:hAnsi="Cambria"/>
        </w:rPr>
        <w:t xml:space="preserve">Le Conseil des ministres a pris un arrêté concernant la mise à disposition de certains médicaments dans le cadre de la lutte contre la propagation du Covid-19. L’arrêté encadre strictement la prescription par les médecins et la dispensation par les officines de pharmacie des spécialités pharmaceutiques </w:t>
      </w:r>
      <w:proofErr w:type="spellStart"/>
      <w:r>
        <w:rPr>
          <w:rFonts w:ascii="Cambria" w:hAnsi="Cambria"/>
        </w:rPr>
        <w:t>Plaquenil</w:t>
      </w:r>
      <w:proofErr w:type="spellEnd"/>
      <w:r>
        <w:rPr>
          <w:rFonts w:ascii="Cambria" w:hAnsi="Cambria"/>
        </w:rPr>
        <w:t xml:space="preserve">, Nivaquine, </w:t>
      </w:r>
      <w:proofErr w:type="spellStart"/>
      <w:r>
        <w:rPr>
          <w:rFonts w:ascii="Cambria" w:hAnsi="Cambria"/>
        </w:rPr>
        <w:t>Kaletra</w:t>
      </w:r>
      <w:proofErr w:type="spellEnd"/>
      <w:r>
        <w:rPr>
          <w:rFonts w:ascii="Cambria" w:hAnsi="Cambria"/>
        </w:rPr>
        <w:t xml:space="preserve"> ainsi que les préparations à base d'</w:t>
      </w:r>
      <w:proofErr w:type="spellStart"/>
      <w:r>
        <w:rPr>
          <w:rFonts w:ascii="Cambria" w:hAnsi="Cambria"/>
        </w:rPr>
        <w:t>hydroxychloroquine</w:t>
      </w:r>
      <w:proofErr w:type="spellEnd"/>
      <w:r>
        <w:rPr>
          <w:rFonts w:ascii="Cambria" w:hAnsi="Cambria"/>
        </w:rPr>
        <w:t xml:space="preserve">, de chloroquine ou à base de l'association </w:t>
      </w:r>
      <w:proofErr w:type="spellStart"/>
      <w:r>
        <w:rPr>
          <w:rFonts w:ascii="Cambria" w:hAnsi="Cambria"/>
        </w:rPr>
        <w:t>lopinavir</w:t>
      </w:r>
      <w:proofErr w:type="spellEnd"/>
      <w:r>
        <w:rPr>
          <w:rFonts w:ascii="Cambria" w:hAnsi="Cambria"/>
        </w:rPr>
        <w:t>/</w:t>
      </w:r>
      <w:proofErr w:type="spellStart"/>
      <w:r>
        <w:rPr>
          <w:rFonts w:ascii="Cambria" w:hAnsi="Cambria"/>
        </w:rPr>
        <w:t>ritonavir</w:t>
      </w:r>
      <w:proofErr w:type="spellEnd"/>
      <w:r>
        <w:rPr>
          <w:rFonts w:ascii="Cambria" w:hAnsi="Cambria"/>
        </w:rPr>
        <w:t xml:space="preserve">. </w:t>
      </w:r>
    </w:p>
    <w:p w:rsidR="00DC2FD4" w:rsidRDefault="00DC2FD4" w:rsidP="00DC2FD4">
      <w:pPr>
        <w:pStyle w:val="-LettreTexteGEDA"/>
        <w:ind w:firstLine="0"/>
        <w:rPr>
          <w:rFonts w:ascii="Cambria" w:hAnsi="Cambria"/>
          <w:szCs w:val="24"/>
        </w:rPr>
      </w:pPr>
      <w:r>
        <w:rPr>
          <w:rFonts w:ascii="Cambria" w:hAnsi="Cambria"/>
        </w:rPr>
        <w:lastRenderedPageBreak/>
        <w:t>En effet, il a été constaté une augmentation de la prescription de ces médicaments par des médecins libéraux et de leur dispensation par des pharmacies, au dela du nombre de prescriptions necessaires pour le traitement des patients dans les indications autorisées pour leur mise sur le marché. Cette dérive, à l’origine de rupture de ces spécialités et préparations, pose des difficultés pour l’approvisionnement des malades qui sont habituellement traités avec ces médicaments, dans le cadre de leur pathologie courante qui nécessite une telle prescription.</w:t>
      </w:r>
    </w:p>
    <w:p w:rsidR="00DC2FD4" w:rsidRDefault="00DC2FD4" w:rsidP="00DC2FD4">
      <w:pPr>
        <w:pStyle w:val="-LettreTexteGEDA"/>
        <w:ind w:firstLine="0"/>
        <w:rPr>
          <w:rFonts w:ascii="Cambria" w:hAnsi="Cambria"/>
        </w:rPr>
      </w:pPr>
      <w:r>
        <w:rPr>
          <w:rFonts w:ascii="Cambria" w:hAnsi="Cambria"/>
        </w:rPr>
        <w:t>Il semble ainsi necessaire d’interdire toute prescription par des médecins autres que les spécialistes mentionnés par l’autorisation de mise sur le marché de ces spécialités.</w:t>
      </w:r>
    </w:p>
    <w:p w:rsidR="00DC2FD4" w:rsidRDefault="00DC2FD4" w:rsidP="00DC2FD4">
      <w:pPr>
        <w:pStyle w:val="-LettreTexteGEDA"/>
        <w:ind w:firstLine="0"/>
        <w:rPr>
          <w:rFonts w:ascii="Cambria" w:hAnsi="Cambria"/>
        </w:rPr>
      </w:pPr>
      <w:r>
        <w:rPr>
          <w:rFonts w:ascii="Cambria" w:hAnsi="Cambria"/>
        </w:rPr>
        <w:t xml:space="preserve">Toutefois, la prescription, la dispensation et l’administration </w:t>
      </w:r>
      <w:bookmarkStart w:id="1" w:name="_Hlk36730974"/>
      <w:r>
        <w:rPr>
          <w:rFonts w:ascii="Cambria" w:hAnsi="Cambria"/>
        </w:rPr>
        <w:t>l'hydroxychloroquine</w:t>
      </w:r>
      <w:bookmarkEnd w:id="1"/>
      <w:r>
        <w:rPr>
          <w:rFonts w:ascii="Cambria" w:hAnsi="Cambria"/>
          <w:color w:val="FF0000"/>
        </w:rPr>
        <w:t xml:space="preserve"> </w:t>
      </w:r>
      <w:r>
        <w:rPr>
          <w:rFonts w:ascii="Cambria" w:hAnsi="Cambria"/>
        </w:rPr>
        <w:t xml:space="preserve">et l'association lopinavir/ritonavir sont autorisées </w:t>
      </w:r>
      <w:r>
        <w:rPr>
          <w:rFonts w:ascii="Cambria" w:hAnsi="Cambria"/>
          <w:color w:val="101010"/>
          <w:shd w:val="clear" w:color="auto" w:fill="FFFFFF"/>
        </w:rPr>
        <w:t xml:space="preserve">pour le traitement des personnes atteintes par le covid-19 </w:t>
      </w:r>
      <w:r>
        <w:rPr>
          <w:rFonts w:ascii="Cambria" w:hAnsi="Cambria"/>
        </w:rPr>
        <w:t>dans un établissement hospitalier.</w:t>
      </w:r>
    </w:p>
    <w:p w:rsidR="00DC2FD4" w:rsidRDefault="00DC2FD4" w:rsidP="00DC2FD4">
      <w:pPr>
        <w:pStyle w:val="-LettreTexteGEDA"/>
        <w:ind w:firstLine="0"/>
        <w:rPr>
          <w:rFonts w:ascii="Cambria" w:hAnsi="Cambria"/>
          <w:color w:val="101010"/>
          <w:shd w:val="clear" w:color="auto" w:fill="FFFFFF"/>
        </w:rPr>
      </w:pPr>
      <w:r>
        <w:rPr>
          <w:rFonts w:ascii="Cambria" w:hAnsi="Cambria"/>
          <w:color w:val="101010"/>
          <w:shd w:val="clear" w:color="auto" w:fill="FFFFFF"/>
        </w:rPr>
        <w:t xml:space="preserve">Il est ainsi proposé que ces prescriptions interviennent, après décision collégiale, dans le respect des recommandations du Haut Conseil de la Santé Publique (HCSP) et, en particulier, de l’indication pour les patients atteints de pneumonie oxygéno-requérante ou d’une défaillance d’organe de patient Covid-19. </w:t>
      </w:r>
    </w:p>
    <w:p w:rsidR="00DC2FD4" w:rsidRDefault="00DC2FD4" w:rsidP="00DC2FD4">
      <w:pPr>
        <w:pStyle w:val="-LettreTexteGEDA"/>
        <w:ind w:firstLine="0"/>
        <w:rPr>
          <w:rFonts w:ascii="Cambria" w:hAnsi="Cambria"/>
        </w:rPr>
      </w:pPr>
      <w:r>
        <w:rPr>
          <w:rFonts w:ascii="Cambria" w:hAnsi="Cambria"/>
        </w:rPr>
        <w:t xml:space="preserve">Ainsi, seul le Centre hospitalier de la Polynésie française (CHPF) pourra mettre en œuvre ces protocoles et uniquement pour les patients qu’il est amené à prendre en charge </w:t>
      </w:r>
      <w:r>
        <w:rPr>
          <w:rFonts w:ascii="Cambria" w:hAnsi="Cambria"/>
          <w:color w:val="101010"/>
          <w:shd w:val="clear" w:color="auto" w:fill="FFFFFF"/>
        </w:rPr>
        <w:t>atteints par le Covid-19</w:t>
      </w:r>
      <w:r>
        <w:rPr>
          <w:rFonts w:ascii="Cambria" w:hAnsi="Cambria"/>
        </w:rPr>
        <w:t>, avec une délivrance des médicaments par la pharmacie à usage intérieur du CHPF.</w:t>
      </w:r>
    </w:p>
    <w:p w:rsidR="00DC2FD4" w:rsidRDefault="00DC2FD4" w:rsidP="00086B53">
      <w:pPr>
        <w:spacing w:after="240"/>
        <w:jc w:val="both"/>
        <w:rPr>
          <w:rFonts w:ascii="Cambria" w:hAnsi="Cambria"/>
          <w:b/>
          <w:bCs/>
        </w:rPr>
      </w:pPr>
    </w:p>
    <w:p w:rsidR="00DC2FD4" w:rsidRDefault="00DC2FD4" w:rsidP="00086B53">
      <w:pPr>
        <w:spacing w:after="240"/>
        <w:rPr>
          <w:rFonts w:ascii="Cambria" w:hAnsi="Cambria"/>
          <w:b/>
          <w:bCs/>
          <w:lang w:eastAsia="en-US"/>
        </w:rPr>
      </w:pPr>
    </w:p>
    <w:p w:rsidR="003E272C" w:rsidRDefault="003E272C" w:rsidP="00DA69B1">
      <w:pPr>
        <w:pStyle w:val="-LettreTexteGEDA"/>
        <w:ind w:firstLine="0"/>
        <w:jc w:val="center"/>
        <w:rPr>
          <w:rFonts w:ascii="Cambria" w:hAnsi="Cambria"/>
          <w:b/>
        </w:rPr>
      </w:pPr>
    </w:p>
    <w:p w:rsidR="008059E4" w:rsidRPr="00DA69B1" w:rsidRDefault="00264EF2" w:rsidP="00DA69B1">
      <w:pPr>
        <w:pStyle w:val="-LettreTexteGEDA"/>
        <w:ind w:firstLine="0"/>
        <w:jc w:val="center"/>
        <w:rPr>
          <w:rFonts w:asciiTheme="majorHAnsi" w:hAnsiTheme="majorHAnsi"/>
          <w:noProof w:val="0"/>
          <w:szCs w:val="24"/>
        </w:rPr>
      </w:pPr>
      <w:r w:rsidRPr="001F2760">
        <w:rPr>
          <w:rFonts w:asciiTheme="majorHAnsi" w:hAnsiTheme="majorHAnsi"/>
          <w:noProof w:val="0"/>
          <w:szCs w:val="24"/>
        </w:rPr>
        <w:t>-o-o-o-o-o-</w:t>
      </w:r>
    </w:p>
    <w:sectPr w:rsidR="008059E4" w:rsidRPr="00DA69B1" w:rsidSect="00922ABB">
      <w:footerReference w:type="even" r:id="rId8"/>
      <w:footerReference w:type="default" r:id="rId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771" w:rsidRDefault="00D86771">
      <w:r>
        <w:separator/>
      </w:r>
    </w:p>
  </w:endnote>
  <w:endnote w:type="continuationSeparator" w:id="0">
    <w:p w:rsidR="00D86771" w:rsidRDefault="00D86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rinda">
    <w:panose1 w:val="00000400000000000000"/>
    <w:charset w:val="01"/>
    <w:family w:val="roman"/>
    <w:notTrueType/>
    <w:pitch w:val="variable"/>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657" w:rsidRDefault="00825657" w:rsidP="00922AB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25657" w:rsidRDefault="00D86771" w:rsidP="00922ABB">
    <w:pPr>
      <w:pStyle w:val="Pieddepage"/>
      <w:ind w:right="360"/>
    </w:pPr>
    <w:sdt>
      <w:sdtPr>
        <w:id w:val="969400743"/>
        <w:temporary/>
        <w:showingPlcHdr/>
      </w:sdtPr>
      <w:sdtEndPr/>
      <w:sdtContent>
        <w:r w:rsidR="00825657">
          <w:t>[Tapez le texte]</w:t>
        </w:r>
      </w:sdtContent>
    </w:sdt>
    <w:r w:rsidR="00825657">
      <w:ptab w:relativeTo="margin" w:alignment="center" w:leader="none"/>
    </w:r>
    <w:sdt>
      <w:sdtPr>
        <w:id w:val="969400748"/>
        <w:temporary/>
        <w:showingPlcHdr/>
      </w:sdtPr>
      <w:sdtEndPr/>
      <w:sdtContent>
        <w:r w:rsidR="00825657">
          <w:t>[Tapez le texte]</w:t>
        </w:r>
      </w:sdtContent>
    </w:sdt>
    <w:r w:rsidR="00825657">
      <w:ptab w:relativeTo="margin" w:alignment="right" w:leader="none"/>
    </w:r>
    <w:sdt>
      <w:sdtPr>
        <w:id w:val="969400753"/>
        <w:temporary/>
        <w:showingPlcHdr/>
      </w:sdtPr>
      <w:sdtEndPr/>
      <w:sdtContent>
        <w:r w:rsidR="00825657">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657" w:rsidRPr="00BA209E" w:rsidRDefault="00825657" w:rsidP="00922ABB">
    <w:pPr>
      <w:pStyle w:val="Pieddepage"/>
      <w:jc w:val="center"/>
      <w:rPr>
        <w:i/>
        <w:sz w:val="20"/>
        <w:szCs w:val="20"/>
      </w:rPr>
    </w:pPr>
    <w:r w:rsidRPr="00BA209E">
      <w:rPr>
        <w:i/>
        <w:sz w:val="20"/>
        <w:szCs w:val="20"/>
      </w:rPr>
      <w:t>Présidence de la Polynésie Française</w:t>
    </w:r>
  </w:p>
  <w:p w:rsidR="00825657" w:rsidRPr="00BA209E" w:rsidRDefault="00825657" w:rsidP="00922ABB">
    <w:pPr>
      <w:pStyle w:val="Pieddepage"/>
      <w:jc w:val="center"/>
      <w:rPr>
        <w:i/>
        <w:sz w:val="20"/>
        <w:szCs w:val="20"/>
      </w:rPr>
    </w:pPr>
    <w:r w:rsidRPr="00BA209E">
      <w:rPr>
        <w:i/>
        <w:sz w:val="20"/>
        <w:szCs w:val="20"/>
      </w:rPr>
      <w:t xml:space="preserve">Service </w:t>
    </w:r>
    <w:r>
      <w:rPr>
        <w:i/>
        <w:sz w:val="20"/>
        <w:szCs w:val="20"/>
      </w:rPr>
      <w:t>de la communication</w:t>
    </w:r>
  </w:p>
  <w:p w:rsidR="00825657" w:rsidRPr="00BA209E" w:rsidRDefault="00D86771" w:rsidP="00922ABB">
    <w:pPr>
      <w:pStyle w:val="Pieddepage"/>
      <w:jc w:val="center"/>
      <w:rPr>
        <w:sz w:val="20"/>
        <w:szCs w:val="20"/>
      </w:rPr>
    </w:pPr>
    <w:hyperlink r:id="rId1" w:history="1">
      <w:r w:rsidR="00825657" w:rsidRPr="00E264FC">
        <w:rPr>
          <w:rStyle w:val="Lienhypertexte"/>
          <w:sz w:val="20"/>
        </w:rPr>
        <w:t>communication@presidence.pf</w:t>
      </w:r>
    </w:hyperlink>
    <w:r w:rsidR="00825657" w:rsidRPr="00BA209E">
      <w:rPr>
        <w:sz w:val="20"/>
        <w:szCs w:val="20"/>
      </w:rPr>
      <w:t xml:space="preserve"> – </w:t>
    </w:r>
    <w:r w:rsidR="00825657">
      <w:rPr>
        <w:sz w:val="20"/>
        <w:szCs w:val="20"/>
      </w:rPr>
      <w:t xml:space="preserve">40 </w:t>
    </w:r>
    <w:r w:rsidR="00825657" w:rsidRPr="00BA209E">
      <w:rPr>
        <w:sz w:val="20"/>
        <w:szCs w:val="20"/>
      </w:rPr>
      <w:t>47 20 00</w:t>
    </w:r>
  </w:p>
  <w:p w:rsidR="00825657" w:rsidRDefault="0082565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771" w:rsidRDefault="00D86771">
      <w:r>
        <w:separator/>
      </w:r>
    </w:p>
  </w:footnote>
  <w:footnote w:type="continuationSeparator" w:id="0">
    <w:p w:rsidR="00D86771" w:rsidRDefault="00D867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91E8D"/>
    <w:multiLevelType w:val="hybridMultilevel"/>
    <w:tmpl w:val="5C409510"/>
    <w:lvl w:ilvl="0" w:tplc="61D20AC8">
      <w:numFmt w:val="bullet"/>
      <w:lvlText w:val="-"/>
      <w:lvlJc w:val="left"/>
      <w:pPr>
        <w:ind w:left="720" w:hanging="360"/>
      </w:pPr>
      <w:rPr>
        <w:rFonts w:ascii="Vrinda" w:eastAsia="Times New Roman" w:hAnsi="Vrind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E046C9"/>
    <w:multiLevelType w:val="hybridMultilevel"/>
    <w:tmpl w:val="AF1C5AD2"/>
    <w:lvl w:ilvl="0" w:tplc="5CCC50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5826EDA"/>
    <w:multiLevelType w:val="hybridMultilevel"/>
    <w:tmpl w:val="3F48164C"/>
    <w:lvl w:ilvl="0" w:tplc="3E2C9A9A">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
    <w:nsid w:val="113F5F9C"/>
    <w:multiLevelType w:val="hybridMultilevel"/>
    <w:tmpl w:val="563459F6"/>
    <w:lvl w:ilvl="0" w:tplc="D5A48CC2">
      <w:numFmt w:val="bullet"/>
      <w:lvlText w:val="-"/>
      <w:lvlJc w:val="left"/>
      <w:pPr>
        <w:ind w:left="1256" w:hanging="360"/>
      </w:pPr>
      <w:rPr>
        <w:rFonts w:ascii="Times New Roman" w:eastAsia="Times New Roman" w:hAnsi="Times New Roman" w:cs="Times New Roman" w:hint="default"/>
      </w:rPr>
    </w:lvl>
    <w:lvl w:ilvl="1" w:tplc="040C0003" w:tentative="1">
      <w:start w:val="1"/>
      <w:numFmt w:val="bullet"/>
      <w:lvlText w:val="o"/>
      <w:lvlJc w:val="left"/>
      <w:pPr>
        <w:ind w:left="1976" w:hanging="360"/>
      </w:pPr>
      <w:rPr>
        <w:rFonts w:ascii="Courier New" w:hAnsi="Courier New" w:cs="Courier New" w:hint="default"/>
      </w:rPr>
    </w:lvl>
    <w:lvl w:ilvl="2" w:tplc="040C0005" w:tentative="1">
      <w:start w:val="1"/>
      <w:numFmt w:val="bullet"/>
      <w:lvlText w:val=""/>
      <w:lvlJc w:val="left"/>
      <w:pPr>
        <w:ind w:left="2696" w:hanging="360"/>
      </w:pPr>
      <w:rPr>
        <w:rFonts w:ascii="Wingdings" w:hAnsi="Wingdings" w:hint="default"/>
      </w:rPr>
    </w:lvl>
    <w:lvl w:ilvl="3" w:tplc="040C0001" w:tentative="1">
      <w:start w:val="1"/>
      <w:numFmt w:val="bullet"/>
      <w:lvlText w:val=""/>
      <w:lvlJc w:val="left"/>
      <w:pPr>
        <w:ind w:left="3416" w:hanging="360"/>
      </w:pPr>
      <w:rPr>
        <w:rFonts w:ascii="Symbol" w:hAnsi="Symbol" w:hint="default"/>
      </w:rPr>
    </w:lvl>
    <w:lvl w:ilvl="4" w:tplc="040C0003" w:tentative="1">
      <w:start w:val="1"/>
      <w:numFmt w:val="bullet"/>
      <w:lvlText w:val="o"/>
      <w:lvlJc w:val="left"/>
      <w:pPr>
        <w:ind w:left="4136" w:hanging="360"/>
      </w:pPr>
      <w:rPr>
        <w:rFonts w:ascii="Courier New" w:hAnsi="Courier New" w:cs="Courier New" w:hint="default"/>
      </w:rPr>
    </w:lvl>
    <w:lvl w:ilvl="5" w:tplc="040C0005" w:tentative="1">
      <w:start w:val="1"/>
      <w:numFmt w:val="bullet"/>
      <w:lvlText w:val=""/>
      <w:lvlJc w:val="left"/>
      <w:pPr>
        <w:ind w:left="4856" w:hanging="360"/>
      </w:pPr>
      <w:rPr>
        <w:rFonts w:ascii="Wingdings" w:hAnsi="Wingdings" w:hint="default"/>
      </w:rPr>
    </w:lvl>
    <w:lvl w:ilvl="6" w:tplc="040C0001" w:tentative="1">
      <w:start w:val="1"/>
      <w:numFmt w:val="bullet"/>
      <w:lvlText w:val=""/>
      <w:lvlJc w:val="left"/>
      <w:pPr>
        <w:ind w:left="5576" w:hanging="360"/>
      </w:pPr>
      <w:rPr>
        <w:rFonts w:ascii="Symbol" w:hAnsi="Symbol" w:hint="default"/>
      </w:rPr>
    </w:lvl>
    <w:lvl w:ilvl="7" w:tplc="040C0003" w:tentative="1">
      <w:start w:val="1"/>
      <w:numFmt w:val="bullet"/>
      <w:lvlText w:val="o"/>
      <w:lvlJc w:val="left"/>
      <w:pPr>
        <w:ind w:left="6296" w:hanging="360"/>
      </w:pPr>
      <w:rPr>
        <w:rFonts w:ascii="Courier New" w:hAnsi="Courier New" w:cs="Courier New" w:hint="default"/>
      </w:rPr>
    </w:lvl>
    <w:lvl w:ilvl="8" w:tplc="040C0005" w:tentative="1">
      <w:start w:val="1"/>
      <w:numFmt w:val="bullet"/>
      <w:lvlText w:val=""/>
      <w:lvlJc w:val="left"/>
      <w:pPr>
        <w:ind w:left="7016" w:hanging="360"/>
      </w:pPr>
      <w:rPr>
        <w:rFonts w:ascii="Wingdings" w:hAnsi="Wingdings" w:hint="default"/>
      </w:rPr>
    </w:lvl>
  </w:abstractNum>
  <w:abstractNum w:abstractNumId="4">
    <w:nsid w:val="2AFF359E"/>
    <w:multiLevelType w:val="hybridMultilevel"/>
    <w:tmpl w:val="6EB22982"/>
    <w:lvl w:ilvl="0" w:tplc="9398D5DE">
      <w:start w:val="1"/>
      <w:numFmt w:val="bullet"/>
      <w:lvlText w:val=""/>
      <w:lvlJc w:val="left"/>
      <w:pPr>
        <w:ind w:left="1211" w:hanging="360"/>
      </w:pPr>
      <w:rPr>
        <w:rFonts w:ascii="Symbol" w:hAnsi="Symbol" w:hint="default"/>
      </w:rPr>
    </w:lvl>
    <w:lvl w:ilvl="1" w:tplc="9398D5DE">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2C160764"/>
    <w:multiLevelType w:val="hybridMultilevel"/>
    <w:tmpl w:val="75583AB6"/>
    <w:lvl w:ilvl="0" w:tplc="DD20AF60">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6">
    <w:nsid w:val="3218086C"/>
    <w:multiLevelType w:val="hybridMultilevel"/>
    <w:tmpl w:val="7FF204E6"/>
    <w:lvl w:ilvl="0" w:tplc="DFE865B2">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5A12CC1"/>
    <w:multiLevelType w:val="hybridMultilevel"/>
    <w:tmpl w:val="CD805D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80008DF"/>
    <w:multiLevelType w:val="hybridMultilevel"/>
    <w:tmpl w:val="0C56B7F6"/>
    <w:lvl w:ilvl="0" w:tplc="5CCC50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FF3178B"/>
    <w:multiLevelType w:val="singleLevel"/>
    <w:tmpl w:val="305E1772"/>
    <w:lvl w:ilvl="0">
      <w:start w:val="1"/>
      <w:numFmt w:val="none"/>
      <w:pStyle w:val="-ActeAttenduVuGEDA"/>
      <w:lvlText w:val="Vu"/>
      <w:legacy w:legacy="1" w:legacySpace="0" w:legacyIndent="340"/>
      <w:lvlJc w:val="left"/>
      <w:pPr>
        <w:ind w:left="340" w:hanging="340"/>
      </w:pPr>
      <w:rPr>
        <w:sz w:val="20"/>
      </w:rPr>
    </w:lvl>
  </w:abstractNum>
  <w:abstractNum w:abstractNumId="10">
    <w:nsid w:val="40FA6A10"/>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11">
    <w:nsid w:val="43235253"/>
    <w:multiLevelType w:val="hybridMultilevel"/>
    <w:tmpl w:val="DF0ED72C"/>
    <w:lvl w:ilvl="0" w:tplc="5328A524">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2">
    <w:nsid w:val="43ED1022"/>
    <w:multiLevelType w:val="hybridMultilevel"/>
    <w:tmpl w:val="28AA907C"/>
    <w:lvl w:ilvl="0" w:tplc="5CCC50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DD10C03"/>
    <w:multiLevelType w:val="hybridMultilevel"/>
    <w:tmpl w:val="DF0444B2"/>
    <w:lvl w:ilvl="0" w:tplc="61D20AC8">
      <w:numFmt w:val="bullet"/>
      <w:lvlText w:val="-"/>
      <w:lvlJc w:val="left"/>
      <w:pPr>
        <w:ind w:left="720" w:hanging="360"/>
      </w:pPr>
      <w:rPr>
        <w:rFonts w:ascii="Vrinda" w:eastAsia="Times New Roman" w:hAnsi="Vrind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E3642DD"/>
    <w:multiLevelType w:val="hybridMultilevel"/>
    <w:tmpl w:val="ED0A5B42"/>
    <w:lvl w:ilvl="0" w:tplc="31C607FE">
      <w:start w:val="843"/>
      <w:numFmt w:val="bullet"/>
      <w:lvlText w:val="-"/>
      <w:lvlJc w:val="left"/>
      <w:pPr>
        <w:ind w:left="720" w:hanging="360"/>
      </w:pPr>
      <w:rPr>
        <w:rFonts w:ascii="Cambria" w:eastAsia="Times New Roman" w:hAnsi="Cambria" w:cs="Century School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2DB69D9"/>
    <w:multiLevelType w:val="hybridMultilevel"/>
    <w:tmpl w:val="04324CF2"/>
    <w:lvl w:ilvl="0" w:tplc="EE1435D4">
      <w:numFmt w:val="bullet"/>
      <w:lvlText w:val="-"/>
      <w:lvlJc w:val="left"/>
      <w:pPr>
        <w:ind w:left="1428" w:hanging="360"/>
      </w:pPr>
      <w:rPr>
        <w:rFonts w:ascii="Times New Roman" w:eastAsia="Times New Roman"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nsid w:val="57C02B49"/>
    <w:multiLevelType w:val="hybridMultilevel"/>
    <w:tmpl w:val="95B83EB2"/>
    <w:lvl w:ilvl="0" w:tplc="EA42991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002698E"/>
    <w:multiLevelType w:val="hybridMultilevel"/>
    <w:tmpl w:val="6F860880"/>
    <w:lvl w:ilvl="0" w:tplc="040C0001">
      <w:start w:val="1"/>
      <w:numFmt w:val="bullet"/>
      <w:lvlText w:val=""/>
      <w:lvlJc w:val="left"/>
      <w:pPr>
        <w:ind w:left="1571" w:hanging="360"/>
      </w:pPr>
      <w:rPr>
        <w:rFonts w:ascii="Symbol" w:hAnsi="Symbol" w:hint="default"/>
      </w:rPr>
    </w:lvl>
    <w:lvl w:ilvl="1" w:tplc="040C0003">
      <w:start w:val="1"/>
      <w:numFmt w:val="bullet"/>
      <w:lvlText w:val="o"/>
      <w:lvlJc w:val="left"/>
      <w:pPr>
        <w:ind w:left="2291" w:hanging="360"/>
      </w:pPr>
      <w:rPr>
        <w:rFonts w:ascii="Courier New" w:hAnsi="Courier New" w:cs="Courier New" w:hint="default"/>
      </w:rPr>
    </w:lvl>
    <w:lvl w:ilvl="2" w:tplc="040C0005">
      <w:start w:val="1"/>
      <w:numFmt w:val="bullet"/>
      <w:lvlText w:val=""/>
      <w:lvlJc w:val="left"/>
      <w:pPr>
        <w:ind w:left="3011" w:hanging="360"/>
      </w:pPr>
      <w:rPr>
        <w:rFonts w:ascii="Wingdings" w:hAnsi="Wingdings" w:hint="default"/>
      </w:rPr>
    </w:lvl>
    <w:lvl w:ilvl="3" w:tplc="040C0001">
      <w:start w:val="1"/>
      <w:numFmt w:val="bullet"/>
      <w:lvlText w:val=""/>
      <w:lvlJc w:val="left"/>
      <w:pPr>
        <w:ind w:left="3731" w:hanging="360"/>
      </w:pPr>
      <w:rPr>
        <w:rFonts w:ascii="Symbol" w:hAnsi="Symbol" w:hint="default"/>
      </w:rPr>
    </w:lvl>
    <w:lvl w:ilvl="4" w:tplc="040C0003">
      <w:start w:val="1"/>
      <w:numFmt w:val="bullet"/>
      <w:lvlText w:val="o"/>
      <w:lvlJc w:val="left"/>
      <w:pPr>
        <w:ind w:left="4451" w:hanging="360"/>
      </w:pPr>
      <w:rPr>
        <w:rFonts w:ascii="Courier New" w:hAnsi="Courier New" w:cs="Courier New" w:hint="default"/>
      </w:rPr>
    </w:lvl>
    <w:lvl w:ilvl="5" w:tplc="040C0005">
      <w:start w:val="1"/>
      <w:numFmt w:val="bullet"/>
      <w:lvlText w:val=""/>
      <w:lvlJc w:val="left"/>
      <w:pPr>
        <w:ind w:left="5171" w:hanging="360"/>
      </w:pPr>
      <w:rPr>
        <w:rFonts w:ascii="Wingdings" w:hAnsi="Wingdings" w:hint="default"/>
      </w:rPr>
    </w:lvl>
    <w:lvl w:ilvl="6" w:tplc="040C0001">
      <w:start w:val="1"/>
      <w:numFmt w:val="bullet"/>
      <w:lvlText w:val=""/>
      <w:lvlJc w:val="left"/>
      <w:pPr>
        <w:ind w:left="5891" w:hanging="360"/>
      </w:pPr>
      <w:rPr>
        <w:rFonts w:ascii="Symbol" w:hAnsi="Symbol" w:hint="default"/>
      </w:rPr>
    </w:lvl>
    <w:lvl w:ilvl="7" w:tplc="040C0003">
      <w:start w:val="1"/>
      <w:numFmt w:val="bullet"/>
      <w:lvlText w:val="o"/>
      <w:lvlJc w:val="left"/>
      <w:pPr>
        <w:ind w:left="6611" w:hanging="360"/>
      </w:pPr>
      <w:rPr>
        <w:rFonts w:ascii="Courier New" w:hAnsi="Courier New" w:cs="Courier New" w:hint="default"/>
      </w:rPr>
    </w:lvl>
    <w:lvl w:ilvl="8" w:tplc="040C0005">
      <w:start w:val="1"/>
      <w:numFmt w:val="bullet"/>
      <w:lvlText w:val=""/>
      <w:lvlJc w:val="left"/>
      <w:pPr>
        <w:ind w:left="7331" w:hanging="360"/>
      </w:pPr>
      <w:rPr>
        <w:rFonts w:ascii="Wingdings" w:hAnsi="Wingdings" w:hint="default"/>
      </w:rPr>
    </w:lvl>
  </w:abstractNum>
  <w:abstractNum w:abstractNumId="18">
    <w:nsid w:val="646F37A4"/>
    <w:multiLevelType w:val="hybridMultilevel"/>
    <w:tmpl w:val="97B6BE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6AB6BB0"/>
    <w:multiLevelType w:val="hybridMultilevel"/>
    <w:tmpl w:val="15526632"/>
    <w:lvl w:ilvl="0" w:tplc="1F206084">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nsid w:val="69A24179"/>
    <w:multiLevelType w:val="multilevel"/>
    <w:tmpl w:val="8B969328"/>
    <w:lvl w:ilvl="0">
      <w:start w:val="1"/>
      <w:numFmt w:val="none"/>
      <w:pStyle w:val="-ActeArticlecontenuGEDA"/>
      <w:lvlText w:val=" "/>
      <w:lvlJc w:val="left"/>
      <w:pPr>
        <w:tabs>
          <w:tab w:val="num" w:pos="360"/>
        </w:tabs>
        <w:ind w:left="340" w:hanging="340"/>
      </w:pPr>
      <w:rPr>
        <w:rFonts w:cs="Times New Roman" w:hint="default"/>
      </w:rPr>
    </w:lvl>
    <w:lvl w:ilvl="1">
      <w:start w:val="1"/>
      <w:numFmt w:val="none"/>
      <w:lvlText w:val=" "/>
      <w:lvlJc w:val="left"/>
      <w:pPr>
        <w:tabs>
          <w:tab w:val="num" w:pos="700"/>
        </w:tabs>
        <w:ind w:left="680" w:hanging="340"/>
      </w:pPr>
      <w:rPr>
        <w:rFonts w:cs="Times New Roman" w:hint="default"/>
      </w:rPr>
    </w:lvl>
    <w:lvl w:ilvl="2">
      <w:start w:val="1"/>
      <w:numFmt w:val="lowerRoman"/>
      <w:lvlText w:val="%3)"/>
      <w:lvlJc w:val="left"/>
      <w:pPr>
        <w:tabs>
          <w:tab w:val="num" w:pos="1420"/>
        </w:tabs>
        <w:ind w:left="1420" w:hanging="360"/>
      </w:pPr>
      <w:rPr>
        <w:rFonts w:cs="Times New Roman" w:hint="default"/>
      </w:rPr>
    </w:lvl>
    <w:lvl w:ilvl="3">
      <w:start w:val="1"/>
      <w:numFmt w:val="decimal"/>
      <w:lvlText w:val="(%4)"/>
      <w:lvlJc w:val="left"/>
      <w:pPr>
        <w:tabs>
          <w:tab w:val="num" w:pos="1780"/>
        </w:tabs>
        <w:ind w:left="1780" w:hanging="360"/>
      </w:pPr>
      <w:rPr>
        <w:rFonts w:cs="Times New Roman" w:hint="default"/>
      </w:rPr>
    </w:lvl>
    <w:lvl w:ilvl="4">
      <w:start w:val="1"/>
      <w:numFmt w:val="lowerLetter"/>
      <w:lvlText w:val="(%5)"/>
      <w:lvlJc w:val="left"/>
      <w:pPr>
        <w:tabs>
          <w:tab w:val="num" w:pos="2140"/>
        </w:tabs>
        <w:ind w:left="2140" w:hanging="360"/>
      </w:pPr>
      <w:rPr>
        <w:rFonts w:cs="Times New Roman" w:hint="default"/>
      </w:rPr>
    </w:lvl>
    <w:lvl w:ilvl="5">
      <w:start w:val="1"/>
      <w:numFmt w:val="lowerRoman"/>
      <w:lvlText w:val="(%6)"/>
      <w:lvlJc w:val="left"/>
      <w:pPr>
        <w:tabs>
          <w:tab w:val="num" w:pos="2500"/>
        </w:tabs>
        <w:ind w:left="2500" w:hanging="360"/>
      </w:pPr>
      <w:rPr>
        <w:rFonts w:cs="Times New Roman" w:hint="default"/>
      </w:rPr>
    </w:lvl>
    <w:lvl w:ilvl="6">
      <w:start w:val="1"/>
      <w:numFmt w:val="decimal"/>
      <w:lvlText w:val="%7."/>
      <w:lvlJc w:val="left"/>
      <w:pPr>
        <w:tabs>
          <w:tab w:val="num" w:pos="2860"/>
        </w:tabs>
        <w:ind w:left="2860" w:hanging="360"/>
      </w:pPr>
      <w:rPr>
        <w:rFonts w:cs="Times New Roman" w:hint="default"/>
      </w:rPr>
    </w:lvl>
    <w:lvl w:ilvl="7">
      <w:start w:val="1"/>
      <w:numFmt w:val="lowerLetter"/>
      <w:lvlText w:val="%8."/>
      <w:lvlJc w:val="left"/>
      <w:pPr>
        <w:tabs>
          <w:tab w:val="num" w:pos="3220"/>
        </w:tabs>
        <w:ind w:left="3220" w:hanging="360"/>
      </w:pPr>
      <w:rPr>
        <w:rFonts w:cs="Times New Roman" w:hint="default"/>
      </w:rPr>
    </w:lvl>
    <w:lvl w:ilvl="8">
      <w:start w:val="1"/>
      <w:numFmt w:val="lowerRoman"/>
      <w:lvlText w:val="%9."/>
      <w:lvlJc w:val="left"/>
      <w:pPr>
        <w:tabs>
          <w:tab w:val="num" w:pos="3580"/>
        </w:tabs>
        <w:ind w:left="3580" w:hanging="360"/>
      </w:pPr>
      <w:rPr>
        <w:rFonts w:cs="Times New Roman" w:hint="default"/>
      </w:rPr>
    </w:lvl>
  </w:abstractNum>
  <w:abstractNum w:abstractNumId="21">
    <w:nsid w:val="6BEF022E"/>
    <w:multiLevelType w:val="hybridMultilevel"/>
    <w:tmpl w:val="2DE4F85C"/>
    <w:lvl w:ilvl="0" w:tplc="8904EF5C">
      <w:start w:val="16"/>
      <w:numFmt w:val="bullet"/>
      <w:lvlText w:val="-"/>
      <w:lvlJc w:val="left"/>
      <w:pPr>
        <w:ind w:left="2136" w:hanging="360"/>
      </w:pPr>
      <w:rPr>
        <w:rFonts w:ascii="Trebuchet MS" w:eastAsia="Times New Roman" w:hAnsi="Trebuchet MS" w:cs="Aria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2">
    <w:nsid w:val="6D0D4939"/>
    <w:multiLevelType w:val="hybridMultilevel"/>
    <w:tmpl w:val="2AE63CB0"/>
    <w:lvl w:ilvl="0" w:tplc="9398D5DE">
      <w:start w:val="1"/>
      <w:numFmt w:val="bullet"/>
      <w:lvlText w:val=""/>
      <w:lvlJc w:val="left"/>
      <w:pPr>
        <w:ind w:left="1211" w:hanging="360"/>
      </w:pPr>
      <w:rPr>
        <w:rFonts w:ascii="Symbol" w:hAnsi="Symbo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3">
    <w:nsid w:val="6D19236D"/>
    <w:multiLevelType w:val="hybridMultilevel"/>
    <w:tmpl w:val="F3860182"/>
    <w:lvl w:ilvl="0" w:tplc="4A203E78">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4">
    <w:nsid w:val="6D9C4E85"/>
    <w:multiLevelType w:val="hybridMultilevel"/>
    <w:tmpl w:val="E9A2A4B2"/>
    <w:lvl w:ilvl="0" w:tplc="948C32B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nsid w:val="764B7727"/>
    <w:multiLevelType w:val="hybridMultilevel"/>
    <w:tmpl w:val="763AF668"/>
    <w:lvl w:ilvl="0" w:tplc="80BAFB8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6E17853"/>
    <w:multiLevelType w:val="hybridMultilevel"/>
    <w:tmpl w:val="BF7E0020"/>
    <w:lvl w:ilvl="0" w:tplc="61D20AC8">
      <w:numFmt w:val="bullet"/>
      <w:lvlText w:val="-"/>
      <w:lvlJc w:val="left"/>
      <w:pPr>
        <w:ind w:left="720" w:hanging="360"/>
      </w:pPr>
      <w:rPr>
        <w:rFonts w:ascii="Vrinda" w:eastAsia="Times New Roman" w:hAnsi="Vrind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ABB3447"/>
    <w:multiLevelType w:val="hybridMultilevel"/>
    <w:tmpl w:val="214E3344"/>
    <w:lvl w:ilvl="0" w:tplc="82A0A86E">
      <w:start w:val="4"/>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8">
    <w:nsid w:val="7F506F9C"/>
    <w:multiLevelType w:val="singleLevel"/>
    <w:tmpl w:val="119AC172"/>
    <w:lvl w:ilvl="0">
      <w:start w:val="1"/>
      <w:numFmt w:val="none"/>
      <w:pStyle w:val="Titre9"/>
      <w:lvlText w:val="Objet : "/>
      <w:legacy w:legacy="1" w:legacySpace="0" w:legacyIndent="851"/>
      <w:lvlJc w:val="left"/>
      <w:pPr>
        <w:ind w:left="851" w:hanging="851"/>
      </w:pPr>
      <w:rPr>
        <w:b/>
        <w:i w:val="0"/>
        <w:sz w:val="24"/>
        <w:u w:val="single"/>
      </w:rPr>
    </w:lvl>
  </w:abstractNum>
  <w:num w:numId="1">
    <w:abstractNumId w:val="9"/>
  </w:num>
  <w:num w:numId="2">
    <w:abstractNumId w:val="10"/>
  </w:num>
  <w:num w:numId="3">
    <w:abstractNumId w:val="28"/>
  </w:num>
  <w:num w:numId="4">
    <w:abstractNumId w:val="20"/>
  </w:num>
  <w:num w:numId="5">
    <w:abstractNumId w:val="11"/>
  </w:num>
  <w:num w:numId="6">
    <w:abstractNumId w:val="7"/>
  </w:num>
  <w:num w:numId="7">
    <w:abstractNumId w:val="8"/>
  </w:num>
  <w:num w:numId="8">
    <w:abstractNumId w:val="1"/>
  </w:num>
  <w:num w:numId="9">
    <w:abstractNumId w:val="12"/>
  </w:num>
  <w:num w:numId="10">
    <w:abstractNumId w:val="5"/>
  </w:num>
  <w:num w:numId="11">
    <w:abstractNumId w:val="19"/>
  </w:num>
  <w:num w:numId="12">
    <w:abstractNumId w:val="16"/>
  </w:num>
  <w:num w:numId="13">
    <w:abstractNumId w:val="14"/>
  </w:num>
  <w:num w:numId="14">
    <w:abstractNumId w:val="15"/>
  </w:num>
  <w:num w:numId="15">
    <w:abstractNumId w:val="3"/>
  </w:num>
  <w:num w:numId="16">
    <w:abstractNumId w:val="2"/>
  </w:num>
  <w:num w:numId="17">
    <w:abstractNumId w:val="26"/>
  </w:num>
  <w:num w:numId="18">
    <w:abstractNumId w:val="13"/>
  </w:num>
  <w:num w:numId="19">
    <w:abstractNumId w:val="0"/>
  </w:num>
  <w:num w:numId="20">
    <w:abstractNumId w:val="18"/>
  </w:num>
  <w:num w:numId="21">
    <w:abstractNumId w:val="4"/>
  </w:num>
  <w:num w:numId="22">
    <w:abstractNumId w:val="22"/>
  </w:num>
  <w:num w:numId="23">
    <w:abstractNumId w:val="6"/>
  </w:num>
  <w:num w:numId="24">
    <w:abstractNumId w:val="27"/>
  </w:num>
  <w:num w:numId="25">
    <w:abstractNumId w:val="21"/>
  </w:num>
  <w:num w:numId="26">
    <w:abstractNumId w:val="17"/>
  </w:num>
  <w:num w:numId="27">
    <w:abstractNumId w:val="24"/>
  </w:num>
  <w:num w:numId="28">
    <w:abstractNumId w:val="23"/>
  </w:num>
  <w:num w:numId="29">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CE"/>
    <w:rsid w:val="00002B31"/>
    <w:rsid w:val="00011CE8"/>
    <w:rsid w:val="00015FF2"/>
    <w:rsid w:val="000224F9"/>
    <w:rsid w:val="0003093E"/>
    <w:rsid w:val="00033658"/>
    <w:rsid w:val="00040642"/>
    <w:rsid w:val="000448E5"/>
    <w:rsid w:val="00045E81"/>
    <w:rsid w:val="00047992"/>
    <w:rsid w:val="000508C8"/>
    <w:rsid w:val="00064A61"/>
    <w:rsid w:val="0008409F"/>
    <w:rsid w:val="00086538"/>
    <w:rsid w:val="00086B53"/>
    <w:rsid w:val="00087CFE"/>
    <w:rsid w:val="0009440F"/>
    <w:rsid w:val="00094FC4"/>
    <w:rsid w:val="000A7995"/>
    <w:rsid w:val="000B0B49"/>
    <w:rsid w:val="000B77CD"/>
    <w:rsid w:val="000C0F06"/>
    <w:rsid w:val="000C3FED"/>
    <w:rsid w:val="000C55DA"/>
    <w:rsid w:val="000D41CD"/>
    <w:rsid w:val="000D60AF"/>
    <w:rsid w:val="000F7373"/>
    <w:rsid w:val="00112BB8"/>
    <w:rsid w:val="00114615"/>
    <w:rsid w:val="00121B8F"/>
    <w:rsid w:val="001260E1"/>
    <w:rsid w:val="00131F0F"/>
    <w:rsid w:val="00141919"/>
    <w:rsid w:val="001510DE"/>
    <w:rsid w:val="0016503A"/>
    <w:rsid w:val="001775EE"/>
    <w:rsid w:val="0018145E"/>
    <w:rsid w:val="001A2D2F"/>
    <w:rsid w:val="001A2EBB"/>
    <w:rsid w:val="001A5551"/>
    <w:rsid w:val="001A5B63"/>
    <w:rsid w:val="001B28FD"/>
    <w:rsid w:val="001C5819"/>
    <w:rsid w:val="001C6C5E"/>
    <w:rsid w:val="001C74FC"/>
    <w:rsid w:val="001D6BE1"/>
    <w:rsid w:val="001E0F84"/>
    <w:rsid w:val="001E20C7"/>
    <w:rsid w:val="001E2C77"/>
    <w:rsid w:val="001E3419"/>
    <w:rsid w:val="001E3E58"/>
    <w:rsid w:val="001E4B80"/>
    <w:rsid w:val="001E5D7F"/>
    <w:rsid w:val="001E69FF"/>
    <w:rsid w:val="001F02DD"/>
    <w:rsid w:val="001F2760"/>
    <w:rsid w:val="001F6D55"/>
    <w:rsid w:val="0021634E"/>
    <w:rsid w:val="00235683"/>
    <w:rsid w:val="00247536"/>
    <w:rsid w:val="002512C5"/>
    <w:rsid w:val="002648E4"/>
    <w:rsid w:val="00264EF2"/>
    <w:rsid w:val="00270AE2"/>
    <w:rsid w:val="00277481"/>
    <w:rsid w:val="00285425"/>
    <w:rsid w:val="00286FFA"/>
    <w:rsid w:val="002904DD"/>
    <w:rsid w:val="00297A93"/>
    <w:rsid w:val="002A1123"/>
    <w:rsid w:val="002B1B00"/>
    <w:rsid w:val="002B5710"/>
    <w:rsid w:val="002B5B92"/>
    <w:rsid w:val="002C134A"/>
    <w:rsid w:val="002C3C82"/>
    <w:rsid w:val="002D6359"/>
    <w:rsid w:val="002E1D40"/>
    <w:rsid w:val="002E42D2"/>
    <w:rsid w:val="002F733A"/>
    <w:rsid w:val="003107CB"/>
    <w:rsid w:val="0031428F"/>
    <w:rsid w:val="003175DF"/>
    <w:rsid w:val="0032141A"/>
    <w:rsid w:val="00331349"/>
    <w:rsid w:val="00335461"/>
    <w:rsid w:val="0033691B"/>
    <w:rsid w:val="003444A6"/>
    <w:rsid w:val="00347372"/>
    <w:rsid w:val="0035386E"/>
    <w:rsid w:val="00357DC7"/>
    <w:rsid w:val="003625D8"/>
    <w:rsid w:val="00375466"/>
    <w:rsid w:val="00376D41"/>
    <w:rsid w:val="00393D5F"/>
    <w:rsid w:val="00395780"/>
    <w:rsid w:val="00396E20"/>
    <w:rsid w:val="003A3094"/>
    <w:rsid w:val="003B14D7"/>
    <w:rsid w:val="003B5A14"/>
    <w:rsid w:val="003D37E1"/>
    <w:rsid w:val="003D62F0"/>
    <w:rsid w:val="003E272C"/>
    <w:rsid w:val="003E3D40"/>
    <w:rsid w:val="003E44BD"/>
    <w:rsid w:val="003F0DC9"/>
    <w:rsid w:val="003F3E11"/>
    <w:rsid w:val="00403CBD"/>
    <w:rsid w:val="004045BC"/>
    <w:rsid w:val="004119C3"/>
    <w:rsid w:val="00414234"/>
    <w:rsid w:val="00415AE9"/>
    <w:rsid w:val="00416ABB"/>
    <w:rsid w:val="0042162D"/>
    <w:rsid w:val="0042227C"/>
    <w:rsid w:val="00424B02"/>
    <w:rsid w:val="004419CA"/>
    <w:rsid w:val="004443F9"/>
    <w:rsid w:val="00447307"/>
    <w:rsid w:val="00464DBA"/>
    <w:rsid w:val="00466539"/>
    <w:rsid w:val="00477702"/>
    <w:rsid w:val="004824BE"/>
    <w:rsid w:val="004901D8"/>
    <w:rsid w:val="004945F1"/>
    <w:rsid w:val="004A0C8B"/>
    <w:rsid w:val="004B281C"/>
    <w:rsid w:val="004C0B54"/>
    <w:rsid w:val="004D2C02"/>
    <w:rsid w:val="004E1879"/>
    <w:rsid w:val="004E59E4"/>
    <w:rsid w:val="004F1581"/>
    <w:rsid w:val="004F2666"/>
    <w:rsid w:val="004F6AB0"/>
    <w:rsid w:val="005071D6"/>
    <w:rsid w:val="00511481"/>
    <w:rsid w:val="005117FB"/>
    <w:rsid w:val="00514734"/>
    <w:rsid w:val="00537381"/>
    <w:rsid w:val="0054277A"/>
    <w:rsid w:val="00551CEE"/>
    <w:rsid w:val="00555562"/>
    <w:rsid w:val="0057103B"/>
    <w:rsid w:val="0057273D"/>
    <w:rsid w:val="00580ED3"/>
    <w:rsid w:val="00582D1E"/>
    <w:rsid w:val="005942B2"/>
    <w:rsid w:val="0059665C"/>
    <w:rsid w:val="0059666B"/>
    <w:rsid w:val="005968D2"/>
    <w:rsid w:val="005C542C"/>
    <w:rsid w:val="005D0C9C"/>
    <w:rsid w:val="005D1E56"/>
    <w:rsid w:val="005D300C"/>
    <w:rsid w:val="005E1F37"/>
    <w:rsid w:val="005E3D2E"/>
    <w:rsid w:val="005F09D5"/>
    <w:rsid w:val="005F11F1"/>
    <w:rsid w:val="005F5786"/>
    <w:rsid w:val="005F5F7B"/>
    <w:rsid w:val="005F67A7"/>
    <w:rsid w:val="00620349"/>
    <w:rsid w:val="006351F3"/>
    <w:rsid w:val="00636B0B"/>
    <w:rsid w:val="00637337"/>
    <w:rsid w:val="00643F5E"/>
    <w:rsid w:val="0064491E"/>
    <w:rsid w:val="00646D25"/>
    <w:rsid w:val="006619B5"/>
    <w:rsid w:val="00672ED4"/>
    <w:rsid w:val="00683D1F"/>
    <w:rsid w:val="00691CAE"/>
    <w:rsid w:val="0069242B"/>
    <w:rsid w:val="00697133"/>
    <w:rsid w:val="006A3579"/>
    <w:rsid w:val="006B3B14"/>
    <w:rsid w:val="006B623F"/>
    <w:rsid w:val="006C3B44"/>
    <w:rsid w:val="006E411F"/>
    <w:rsid w:val="006E478C"/>
    <w:rsid w:val="006E7470"/>
    <w:rsid w:val="006E76C6"/>
    <w:rsid w:val="006F3B1B"/>
    <w:rsid w:val="006F7090"/>
    <w:rsid w:val="007052A3"/>
    <w:rsid w:val="00706A5D"/>
    <w:rsid w:val="00711F71"/>
    <w:rsid w:val="00716A05"/>
    <w:rsid w:val="00724158"/>
    <w:rsid w:val="0073038C"/>
    <w:rsid w:val="0073277F"/>
    <w:rsid w:val="00734600"/>
    <w:rsid w:val="00736200"/>
    <w:rsid w:val="00744311"/>
    <w:rsid w:val="00744E22"/>
    <w:rsid w:val="00745751"/>
    <w:rsid w:val="007503DC"/>
    <w:rsid w:val="00753BF6"/>
    <w:rsid w:val="00762E29"/>
    <w:rsid w:val="00764607"/>
    <w:rsid w:val="00767E72"/>
    <w:rsid w:val="0077109E"/>
    <w:rsid w:val="00781048"/>
    <w:rsid w:val="007969D9"/>
    <w:rsid w:val="007A103C"/>
    <w:rsid w:val="007A6288"/>
    <w:rsid w:val="007A6645"/>
    <w:rsid w:val="007A6D8A"/>
    <w:rsid w:val="007B3B1E"/>
    <w:rsid w:val="007B3FE4"/>
    <w:rsid w:val="007B453D"/>
    <w:rsid w:val="007B5747"/>
    <w:rsid w:val="007C215C"/>
    <w:rsid w:val="007D57D7"/>
    <w:rsid w:val="007D7D62"/>
    <w:rsid w:val="007E5AD4"/>
    <w:rsid w:val="007E5D80"/>
    <w:rsid w:val="007E6573"/>
    <w:rsid w:val="007F71F9"/>
    <w:rsid w:val="00802907"/>
    <w:rsid w:val="008059E4"/>
    <w:rsid w:val="00815E32"/>
    <w:rsid w:val="00816AD6"/>
    <w:rsid w:val="00822799"/>
    <w:rsid w:val="00822FDE"/>
    <w:rsid w:val="00825657"/>
    <w:rsid w:val="008261E3"/>
    <w:rsid w:val="0082621E"/>
    <w:rsid w:val="008276FE"/>
    <w:rsid w:val="00827B40"/>
    <w:rsid w:val="0083120F"/>
    <w:rsid w:val="008336DF"/>
    <w:rsid w:val="00852F12"/>
    <w:rsid w:val="008537CB"/>
    <w:rsid w:val="00863C9B"/>
    <w:rsid w:val="00864279"/>
    <w:rsid w:val="0086475C"/>
    <w:rsid w:val="00865462"/>
    <w:rsid w:val="00866990"/>
    <w:rsid w:val="00871A3F"/>
    <w:rsid w:val="008848AD"/>
    <w:rsid w:val="00887D74"/>
    <w:rsid w:val="00891EDE"/>
    <w:rsid w:val="00892735"/>
    <w:rsid w:val="00894690"/>
    <w:rsid w:val="008A241A"/>
    <w:rsid w:val="008B080B"/>
    <w:rsid w:val="008C255E"/>
    <w:rsid w:val="008C4B24"/>
    <w:rsid w:val="008D02F0"/>
    <w:rsid w:val="008D6C23"/>
    <w:rsid w:val="008E053C"/>
    <w:rsid w:val="008E4691"/>
    <w:rsid w:val="008F245A"/>
    <w:rsid w:val="00906A19"/>
    <w:rsid w:val="00906D50"/>
    <w:rsid w:val="00910FD4"/>
    <w:rsid w:val="00922ABB"/>
    <w:rsid w:val="00927FB3"/>
    <w:rsid w:val="009401EA"/>
    <w:rsid w:val="0094463C"/>
    <w:rsid w:val="00950864"/>
    <w:rsid w:val="00950F40"/>
    <w:rsid w:val="00952102"/>
    <w:rsid w:val="00954182"/>
    <w:rsid w:val="00960A98"/>
    <w:rsid w:val="00961035"/>
    <w:rsid w:val="009740B4"/>
    <w:rsid w:val="00974CB1"/>
    <w:rsid w:val="00976B85"/>
    <w:rsid w:val="00982775"/>
    <w:rsid w:val="00986537"/>
    <w:rsid w:val="0099197F"/>
    <w:rsid w:val="00994824"/>
    <w:rsid w:val="00994A64"/>
    <w:rsid w:val="009A0987"/>
    <w:rsid w:val="009A1547"/>
    <w:rsid w:val="009A2109"/>
    <w:rsid w:val="009A3BA0"/>
    <w:rsid w:val="009B11A7"/>
    <w:rsid w:val="009B73C8"/>
    <w:rsid w:val="009B778E"/>
    <w:rsid w:val="009C0DEF"/>
    <w:rsid w:val="009C11E2"/>
    <w:rsid w:val="009D1DF3"/>
    <w:rsid w:val="009E7245"/>
    <w:rsid w:val="009F1A15"/>
    <w:rsid w:val="00A01888"/>
    <w:rsid w:val="00A126D4"/>
    <w:rsid w:val="00A17AA2"/>
    <w:rsid w:val="00A21E46"/>
    <w:rsid w:val="00A24863"/>
    <w:rsid w:val="00A251E2"/>
    <w:rsid w:val="00A31AE6"/>
    <w:rsid w:val="00A40622"/>
    <w:rsid w:val="00A41FD7"/>
    <w:rsid w:val="00A442F1"/>
    <w:rsid w:val="00A44770"/>
    <w:rsid w:val="00A45B8E"/>
    <w:rsid w:val="00A46AF8"/>
    <w:rsid w:val="00A46EA3"/>
    <w:rsid w:val="00A73389"/>
    <w:rsid w:val="00A80857"/>
    <w:rsid w:val="00A87746"/>
    <w:rsid w:val="00A93D19"/>
    <w:rsid w:val="00AA198C"/>
    <w:rsid w:val="00AA5DB0"/>
    <w:rsid w:val="00AB4AEB"/>
    <w:rsid w:val="00AB7D79"/>
    <w:rsid w:val="00AC42CB"/>
    <w:rsid w:val="00AC6946"/>
    <w:rsid w:val="00AD3266"/>
    <w:rsid w:val="00AD5069"/>
    <w:rsid w:val="00AD5D6D"/>
    <w:rsid w:val="00AD5EDD"/>
    <w:rsid w:val="00AD5EE0"/>
    <w:rsid w:val="00AD6E64"/>
    <w:rsid w:val="00AE3F88"/>
    <w:rsid w:val="00AE4FD0"/>
    <w:rsid w:val="00AF07FB"/>
    <w:rsid w:val="00AF2B57"/>
    <w:rsid w:val="00B123F5"/>
    <w:rsid w:val="00B14FEF"/>
    <w:rsid w:val="00B21CAB"/>
    <w:rsid w:val="00B21E1D"/>
    <w:rsid w:val="00B312EF"/>
    <w:rsid w:val="00B31AD4"/>
    <w:rsid w:val="00B332D7"/>
    <w:rsid w:val="00B447A7"/>
    <w:rsid w:val="00B45D18"/>
    <w:rsid w:val="00B51388"/>
    <w:rsid w:val="00B64483"/>
    <w:rsid w:val="00B709A4"/>
    <w:rsid w:val="00B74014"/>
    <w:rsid w:val="00B74B8A"/>
    <w:rsid w:val="00B82454"/>
    <w:rsid w:val="00B83D50"/>
    <w:rsid w:val="00B94AFD"/>
    <w:rsid w:val="00B95C0A"/>
    <w:rsid w:val="00BA3B8B"/>
    <w:rsid w:val="00BC1461"/>
    <w:rsid w:val="00BC5AC8"/>
    <w:rsid w:val="00BC620E"/>
    <w:rsid w:val="00BC75D2"/>
    <w:rsid w:val="00BD7B99"/>
    <w:rsid w:val="00BD7FCE"/>
    <w:rsid w:val="00BF02E7"/>
    <w:rsid w:val="00BF6F91"/>
    <w:rsid w:val="00C03DAB"/>
    <w:rsid w:val="00C109C3"/>
    <w:rsid w:val="00C10AEC"/>
    <w:rsid w:val="00C16652"/>
    <w:rsid w:val="00C2035B"/>
    <w:rsid w:val="00C25610"/>
    <w:rsid w:val="00C34DFF"/>
    <w:rsid w:val="00C354A8"/>
    <w:rsid w:val="00C575E2"/>
    <w:rsid w:val="00C57F44"/>
    <w:rsid w:val="00C83E94"/>
    <w:rsid w:val="00C84CFA"/>
    <w:rsid w:val="00C85666"/>
    <w:rsid w:val="00C85BDA"/>
    <w:rsid w:val="00C86F4D"/>
    <w:rsid w:val="00C9156B"/>
    <w:rsid w:val="00CA5FA6"/>
    <w:rsid w:val="00CB6A2E"/>
    <w:rsid w:val="00CC0122"/>
    <w:rsid w:val="00CC0DAF"/>
    <w:rsid w:val="00CC20A0"/>
    <w:rsid w:val="00CC37AD"/>
    <w:rsid w:val="00CC4E02"/>
    <w:rsid w:val="00CD41CD"/>
    <w:rsid w:val="00CE1868"/>
    <w:rsid w:val="00CE27DC"/>
    <w:rsid w:val="00CE47CE"/>
    <w:rsid w:val="00CE51BA"/>
    <w:rsid w:val="00CF4D51"/>
    <w:rsid w:val="00CF614D"/>
    <w:rsid w:val="00CF6903"/>
    <w:rsid w:val="00D032A7"/>
    <w:rsid w:val="00D1407C"/>
    <w:rsid w:val="00D24AAC"/>
    <w:rsid w:val="00D332FD"/>
    <w:rsid w:val="00D4017A"/>
    <w:rsid w:val="00D409EF"/>
    <w:rsid w:val="00D40DA6"/>
    <w:rsid w:val="00D41691"/>
    <w:rsid w:val="00D42763"/>
    <w:rsid w:val="00D4396A"/>
    <w:rsid w:val="00D531A2"/>
    <w:rsid w:val="00D61A9C"/>
    <w:rsid w:val="00D7084B"/>
    <w:rsid w:val="00D71284"/>
    <w:rsid w:val="00D7269F"/>
    <w:rsid w:val="00D77283"/>
    <w:rsid w:val="00D7791F"/>
    <w:rsid w:val="00D83D64"/>
    <w:rsid w:val="00D86771"/>
    <w:rsid w:val="00DA56BE"/>
    <w:rsid w:val="00DA69B1"/>
    <w:rsid w:val="00DB2820"/>
    <w:rsid w:val="00DB2D68"/>
    <w:rsid w:val="00DB51B3"/>
    <w:rsid w:val="00DB7748"/>
    <w:rsid w:val="00DC2FD4"/>
    <w:rsid w:val="00DC4669"/>
    <w:rsid w:val="00DD023E"/>
    <w:rsid w:val="00DD7B19"/>
    <w:rsid w:val="00DE148E"/>
    <w:rsid w:val="00DE1B5F"/>
    <w:rsid w:val="00DE4216"/>
    <w:rsid w:val="00DF5503"/>
    <w:rsid w:val="00E0177C"/>
    <w:rsid w:val="00E021CE"/>
    <w:rsid w:val="00E060F5"/>
    <w:rsid w:val="00E066DB"/>
    <w:rsid w:val="00E069DD"/>
    <w:rsid w:val="00E10795"/>
    <w:rsid w:val="00E145D0"/>
    <w:rsid w:val="00E14BA1"/>
    <w:rsid w:val="00E17500"/>
    <w:rsid w:val="00E26E50"/>
    <w:rsid w:val="00E32361"/>
    <w:rsid w:val="00E43EDF"/>
    <w:rsid w:val="00E508A5"/>
    <w:rsid w:val="00E5142D"/>
    <w:rsid w:val="00E51A41"/>
    <w:rsid w:val="00E55B39"/>
    <w:rsid w:val="00E56A91"/>
    <w:rsid w:val="00E57CF3"/>
    <w:rsid w:val="00E64585"/>
    <w:rsid w:val="00E6755C"/>
    <w:rsid w:val="00E726CC"/>
    <w:rsid w:val="00E72D76"/>
    <w:rsid w:val="00E75455"/>
    <w:rsid w:val="00E81773"/>
    <w:rsid w:val="00E8405D"/>
    <w:rsid w:val="00E84AD1"/>
    <w:rsid w:val="00EA00C5"/>
    <w:rsid w:val="00EA5932"/>
    <w:rsid w:val="00EA73B5"/>
    <w:rsid w:val="00EB145A"/>
    <w:rsid w:val="00EB6C85"/>
    <w:rsid w:val="00EC4E4B"/>
    <w:rsid w:val="00EC7D90"/>
    <w:rsid w:val="00ED0838"/>
    <w:rsid w:val="00ED2109"/>
    <w:rsid w:val="00ED5755"/>
    <w:rsid w:val="00EE3200"/>
    <w:rsid w:val="00EF33F2"/>
    <w:rsid w:val="00EF67B9"/>
    <w:rsid w:val="00F06EBE"/>
    <w:rsid w:val="00F131FF"/>
    <w:rsid w:val="00F1507F"/>
    <w:rsid w:val="00F17756"/>
    <w:rsid w:val="00F20FFC"/>
    <w:rsid w:val="00F246BA"/>
    <w:rsid w:val="00F30D9B"/>
    <w:rsid w:val="00F36CE9"/>
    <w:rsid w:val="00F372AE"/>
    <w:rsid w:val="00F41ADF"/>
    <w:rsid w:val="00F50185"/>
    <w:rsid w:val="00F52E28"/>
    <w:rsid w:val="00F53784"/>
    <w:rsid w:val="00F6507B"/>
    <w:rsid w:val="00F67571"/>
    <w:rsid w:val="00F72A91"/>
    <w:rsid w:val="00F72D1E"/>
    <w:rsid w:val="00F80684"/>
    <w:rsid w:val="00F868AE"/>
    <w:rsid w:val="00F90E7B"/>
    <w:rsid w:val="00F92D64"/>
    <w:rsid w:val="00F93C10"/>
    <w:rsid w:val="00FA4035"/>
    <w:rsid w:val="00FB6916"/>
    <w:rsid w:val="00FC477B"/>
    <w:rsid w:val="00FD34C3"/>
    <w:rsid w:val="00FE6788"/>
    <w:rsid w:val="00FF4012"/>
    <w:rsid w:val="00FF4E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83C763-C2C3-4AF0-B648-4A81BCB72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7CE"/>
    <w:pPr>
      <w:spacing w:after="0" w:line="240" w:lineRule="auto"/>
    </w:pPr>
    <w:rPr>
      <w:rFonts w:ascii="Times New Roman" w:eastAsia="Times New Roman" w:hAnsi="Times New Roman" w:cs="Times New Roman"/>
      <w:sz w:val="24"/>
      <w:szCs w:val="24"/>
      <w:lang w:eastAsia="es-ES"/>
    </w:rPr>
  </w:style>
  <w:style w:type="paragraph" w:styleId="Titre1">
    <w:name w:val="heading 1"/>
    <w:basedOn w:val="Normal"/>
    <w:next w:val="Normal"/>
    <w:link w:val="Titre1Car"/>
    <w:uiPriority w:val="9"/>
    <w:qFormat/>
    <w:rsid w:val="00DD7B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7">
    <w:name w:val="heading 7"/>
    <w:basedOn w:val="Normal"/>
    <w:next w:val="Normal"/>
    <w:link w:val="Titre7Car"/>
    <w:uiPriority w:val="9"/>
    <w:semiHidden/>
    <w:unhideWhenUsed/>
    <w:qFormat/>
    <w:rsid w:val="00C34DFF"/>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Titre7"/>
    <w:next w:val="-LettreTexteGEDA"/>
    <w:link w:val="Titre8Car"/>
    <w:qFormat/>
    <w:rsid w:val="00C34DFF"/>
    <w:pPr>
      <w:numPr>
        <w:numId w:val="2"/>
      </w:numPr>
      <w:spacing w:before="180"/>
      <w:ind w:left="283" w:hanging="283"/>
      <w:outlineLvl w:val="7"/>
    </w:pPr>
    <w:rPr>
      <w:rFonts w:ascii="Times New Roman" w:eastAsia="Times New Roman" w:hAnsi="Times New Roman" w:cs="Arial"/>
      <w:i w:val="0"/>
      <w:iCs w:val="0"/>
      <w:color w:val="auto"/>
      <w:szCs w:val="20"/>
      <w:lang w:eastAsia="en-US"/>
    </w:rPr>
  </w:style>
  <w:style w:type="paragraph" w:styleId="Titre9">
    <w:name w:val="heading 9"/>
    <w:next w:val="-LettreTexteGEDA"/>
    <w:link w:val="Titre9Car"/>
    <w:qFormat/>
    <w:rsid w:val="00C34DFF"/>
    <w:pPr>
      <w:numPr>
        <w:numId w:val="3"/>
      </w:numPr>
      <w:spacing w:before="180" w:after="0" w:line="240" w:lineRule="auto"/>
      <w:jc w:val="both"/>
      <w:outlineLvl w:val="8"/>
    </w:pPr>
    <w:rPr>
      <w:rFonts w:ascii="Times New Roman" w:eastAsia="Times New Roman" w:hAnsi="Times New Roman" w:cs="Arial"/>
      <w:kern w:val="18"/>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E47CE"/>
    <w:pPr>
      <w:tabs>
        <w:tab w:val="center" w:pos="4536"/>
        <w:tab w:val="right" w:pos="9072"/>
      </w:tabs>
    </w:pPr>
  </w:style>
  <w:style w:type="character" w:customStyle="1" w:styleId="PieddepageCar">
    <w:name w:val="Pied de page Car"/>
    <w:basedOn w:val="Policepardfaut"/>
    <w:link w:val="Pieddepage"/>
    <w:uiPriority w:val="99"/>
    <w:rsid w:val="00CE47CE"/>
    <w:rPr>
      <w:rFonts w:ascii="Times New Roman" w:eastAsia="Times New Roman" w:hAnsi="Times New Roman" w:cs="Times New Roman"/>
      <w:sz w:val="24"/>
      <w:szCs w:val="24"/>
      <w:lang w:eastAsia="es-ES"/>
    </w:rPr>
  </w:style>
  <w:style w:type="character" w:styleId="Lienhypertexte">
    <w:name w:val="Hyperlink"/>
    <w:basedOn w:val="Policepardfaut"/>
    <w:uiPriority w:val="99"/>
    <w:unhideWhenUsed/>
    <w:rsid w:val="00CE47CE"/>
    <w:rPr>
      <w:color w:val="0000FF" w:themeColor="hyperlink"/>
      <w:u w:val="single"/>
    </w:rPr>
  </w:style>
  <w:style w:type="character" w:styleId="Numrodepage">
    <w:name w:val="page number"/>
    <w:basedOn w:val="Policepardfaut"/>
    <w:uiPriority w:val="99"/>
    <w:semiHidden/>
    <w:unhideWhenUsed/>
    <w:rsid w:val="00CE47CE"/>
  </w:style>
  <w:style w:type="paragraph" w:customStyle="1" w:styleId="Standard">
    <w:name w:val="Standard"/>
    <w:rsid w:val="00CE47CE"/>
    <w:pPr>
      <w:suppressAutoHyphens/>
      <w:autoSpaceDN w:val="0"/>
      <w:textAlignment w:val="baseline"/>
    </w:pPr>
    <w:rPr>
      <w:rFonts w:ascii="Calibri" w:eastAsia="Arial Unicode MS" w:hAnsi="Calibri" w:cs="Tahoma"/>
      <w:kern w:val="3"/>
    </w:rPr>
  </w:style>
  <w:style w:type="paragraph" w:customStyle="1" w:styleId="-LettreObjetGEDA">
    <w:name w:val="- Lettre:Objet                GEDA"/>
    <w:next w:val="Normal"/>
    <w:link w:val="-LettreObjetGEDACar"/>
    <w:uiPriority w:val="99"/>
    <w:rsid w:val="00CE47CE"/>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paragraph" w:styleId="Sansinterligne">
    <w:name w:val="No Spacing"/>
    <w:uiPriority w:val="1"/>
    <w:qFormat/>
    <w:rsid w:val="00CE47CE"/>
    <w:pPr>
      <w:spacing w:after="0" w:line="240" w:lineRule="auto"/>
    </w:pPr>
    <w:rPr>
      <w:rFonts w:ascii="Times New Roman" w:eastAsia="Times New Roman" w:hAnsi="Times New Roman" w:cs="Times New Roman"/>
      <w:sz w:val="24"/>
      <w:szCs w:val="24"/>
      <w:lang w:eastAsia="es-ES"/>
    </w:rPr>
  </w:style>
  <w:style w:type="character" w:customStyle="1" w:styleId="-LettreObjetGEDACar">
    <w:name w:val="- Lettre:Objet                GEDA Car"/>
    <w:basedOn w:val="Policepardfaut"/>
    <w:link w:val="-LettreObjetGEDA"/>
    <w:locked/>
    <w:rsid w:val="00CE47CE"/>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qFormat/>
    <w:rsid w:val="00CE47CE"/>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noProof/>
      <w:sz w:val="24"/>
      <w:szCs w:val="20"/>
      <w:lang w:eastAsia="fr-FR"/>
    </w:rPr>
  </w:style>
  <w:style w:type="character" w:customStyle="1" w:styleId="-LettreTexteGEDACar">
    <w:name w:val="- Lettre:Texte                GEDA Car"/>
    <w:basedOn w:val="Policepardfaut"/>
    <w:link w:val="-LettreTexteGEDA"/>
    <w:locked/>
    <w:rsid w:val="00CE47CE"/>
    <w:rPr>
      <w:rFonts w:ascii="Times New Roman" w:eastAsia="Times New Roman" w:hAnsi="Times New Roman" w:cs="Times New Roman"/>
      <w:noProof/>
      <w:sz w:val="24"/>
      <w:szCs w:val="20"/>
      <w:lang w:eastAsia="fr-FR"/>
    </w:rPr>
  </w:style>
  <w:style w:type="paragraph" w:styleId="NormalWeb">
    <w:name w:val="Normal (Web)"/>
    <w:basedOn w:val="Normal"/>
    <w:uiPriority w:val="99"/>
    <w:unhideWhenUsed/>
    <w:rsid w:val="00CE47CE"/>
    <w:pPr>
      <w:spacing w:before="100" w:beforeAutospacing="1" w:after="100" w:afterAutospacing="1"/>
    </w:pPr>
    <w:rPr>
      <w:lang w:eastAsia="fr-FR"/>
    </w:rPr>
  </w:style>
  <w:style w:type="paragraph" w:styleId="Titre">
    <w:name w:val="Title"/>
    <w:next w:val="-LettreTexteGEDA"/>
    <w:link w:val="TitreCar"/>
    <w:qFormat/>
    <w:rsid w:val="00CE47CE"/>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CE47CE"/>
    <w:rPr>
      <w:rFonts w:ascii="Times New Roman" w:eastAsia="Times New Roman" w:hAnsi="Times New Roman" w:cs="Arial"/>
      <w:b/>
      <w:bCs/>
      <w:caps/>
      <w:spacing w:val="60"/>
      <w:kern w:val="28"/>
      <w:sz w:val="24"/>
      <w:szCs w:val="32"/>
      <w:u w:val="thick"/>
    </w:rPr>
  </w:style>
  <w:style w:type="paragraph" w:customStyle="1" w:styleId="-LettreSuiteORefPJGEDA">
    <w:name w:val="- Lettre:Suite O/Ref/PJ GEDA"/>
    <w:rsid w:val="00E6755C"/>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LettrePJGEDA">
    <w:name w:val="- Lettre:P.J.                  GEDA"/>
    <w:basedOn w:val="-LettreObjetGEDA"/>
    <w:next w:val="-LettreSuiteORefPJGEDA"/>
    <w:rsid w:val="00E6755C"/>
    <w:pPr>
      <w:spacing w:before="80"/>
    </w:pPr>
  </w:style>
  <w:style w:type="paragraph" w:styleId="Paragraphedeliste">
    <w:name w:val="List Paragraph"/>
    <w:basedOn w:val="Normal"/>
    <w:link w:val="ParagraphedelisteCar"/>
    <w:uiPriority w:val="34"/>
    <w:qFormat/>
    <w:rsid w:val="00E6755C"/>
    <w:pPr>
      <w:spacing w:after="200" w:line="276" w:lineRule="auto"/>
      <w:ind w:left="720"/>
      <w:contextualSpacing/>
    </w:pPr>
    <w:rPr>
      <w:rFonts w:ascii="Calibri" w:eastAsia="Calibri" w:hAnsi="Calibri"/>
      <w:sz w:val="22"/>
      <w:szCs w:val="22"/>
      <w:lang w:eastAsia="en-US"/>
    </w:rPr>
  </w:style>
  <w:style w:type="paragraph" w:styleId="En-tte">
    <w:name w:val="header"/>
    <w:basedOn w:val="Normal"/>
    <w:link w:val="En-tteCar"/>
    <w:uiPriority w:val="99"/>
    <w:semiHidden/>
    <w:unhideWhenUsed/>
    <w:rsid w:val="00852F12"/>
    <w:rPr>
      <w:rFonts w:eastAsiaTheme="minorHAnsi"/>
      <w:lang w:eastAsia="fr-FR"/>
    </w:rPr>
  </w:style>
  <w:style w:type="character" w:customStyle="1" w:styleId="En-tteCar">
    <w:name w:val="En-tête Car"/>
    <w:basedOn w:val="Policepardfaut"/>
    <w:link w:val="En-tte"/>
    <w:uiPriority w:val="99"/>
    <w:semiHidden/>
    <w:rsid w:val="00852F12"/>
    <w:rPr>
      <w:rFonts w:ascii="Times New Roman" w:hAnsi="Times New Roman" w:cs="Times New Roman"/>
      <w:sz w:val="24"/>
      <w:szCs w:val="24"/>
      <w:lang w:eastAsia="fr-FR"/>
    </w:rPr>
  </w:style>
  <w:style w:type="paragraph" w:customStyle="1" w:styleId="-ConventionPrambuleGEDA">
    <w:name w:val="- Convention:Préambule           GEDA"/>
    <w:rsid w:val="00A93D19"/>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LettrehDestinataireadGEDA">
    <w:name w:val="- Lettre:h_Destinataire (ad)GEDA"/>
    <w:basedOn w:val="Normal"/>
    <w:rsid w:val="00A93D19"/>
    <w:pPr>
      <w:overflowPunct w:val="0"/>
      <w:autoSpaceDE w:val="0"/>
      <w:autoSpaceDN w:val="0"/>
      <w:adjustRightInd w:val="0"/>
      <w:jc w:val="center"/>
      <w:textAlignment w:val="baseline"/>
    </w:pPr>
    <w:rPr>
      <w:b/>
      <w:noProof/>
      <w:szCs w:val="20"/>
      <w:lang w:eastAsia="fr-FR"/>
    </w:rPr>
  </w:style>
  <w:style w:type="paragraph" w:styleId="Corpsdetexte">
    <w:name w:val="Body Text"/>
    <w:basedOn w:val="Normal"/>
    <w:link w:val="CorpsdetexteCar"/>
    <w:uiPriority w:val="99"/>
    <w:semiHidden/>
    <w:unhideWhenUsed/>
    <w:rsid w:val="00A93D19"/>
    <w:pPr>
      <w:spacing w:after="120"/>
    </w:pPr>
    <w:rPr>
      <w:lang w:eastAsia="fr-FR"/>
    </w:rPr>
  </w:style>
  <w:style w:type="character" w:customStyle="1" w:styleId="CorpsdetexteCar">
    <w:name w:val="Corps de texte Car"/>
    <w:basedOn w:val="Policepardfaut"/>
    <w:link w:val="Corpsdetexte"/>
    <w:uiPriority w:val="99"/>
    <w:semiHidden/>
    <w:rsid w:val="00A93D19"/>
    <w:rPr>
      <w:rFonts w:ascii="Times New Roman" w:eastAsia="Times New Roman" w:hAnsi="Times New Roman" w:cs="Times New Roman"/>
      <w:sz w:val="24"/>
      <w:szCs w:val="24"/>
      <w:lang w:eastAsia="fr-FR"/>
    </w:rPr>
  </w:style>
  <w:style w:type="paragraph" w:customStyle="1" w:styleId="-ActeAttenduVuGEDA">
    <w:name w:val="- Acte:Attendu (Vu)                 GEDA"/>
    <w:rsid w:val="00C34DFF"/>
    <w:pPr>
      <w:numPr>
        <w:numId w:val="1"/>
      </w:numPr>
      <w:overflowPunct w:val="0"/>
      <w:autoSpaceDE w:val="0"/>
      <w:autoSpaceDN w:val="0"/>
      <w:adjustRightInd w:val="0"/>
      <w:spacing w:before="180" w:after="0" w:line="240" w:lineRule="auto"/>
      <w:jc w:val="both"/>
      <w:textAlignment w:val="baseline"/>
    </w:pPr>
    <w:rPr>
      <w:rFonts w:ascii="Times New Roman" w:eastAsia="Times New Roman" w:hAnsi="Times New Roman" w:cs="Times New Roman"/>
      <w:sz w:val="20"/>
      <w:szCs w:val="20"/>
      <w:lang w:eastAsia="fr-FR"/>
    </w:rPr>
  </w:style>
  <w:style w:type="character" w:customStyle="1" w:styleId="Titre8Car">
    <w:name w:val="Titre 8 Car"/>
    <w:basedOn w:val="Policepardfaut"/>
    <w:link w:val="Titre8"/>
    <w:rsid w:val="00C34DFF"/>
    <w:rPr>
      <w:rFonts w:ascii="Times New Roman" w:eastAsia="Times New Roman" w:hAnsi="Times New Roman" w:cs="Arial"/>
      <w:sz w:val="24"/>
      <w:szCs w:val="20"/>
    </w:rPr>
  </w:style>
  <w:style w:type="character" w:customStyle="1" w:styleId="Titre9Car">
    <w:name w:val="Titre 9 Car"/>
    <w:basedOn w:val="Policepardfaut"/>
    <w:link w:val="Titre9"/>
    <w:rsid w:val="00C34DFF"/>
    <w:rPr>
      <w:rFonts w:ascii="Times New Roman" w:eastAsia="Times New Roman" w:hAnsi="Times New Roman" w:cs="Arial"/>
      <w:kern w:val="18"/>
      <w:sz w:val="24"/>
    </w:rPr>
  </w:style>
  <w:style w:type="character" w:customStyle="1" w:styleId="Titre7Car">
    <w:name w:val="Titre 7 Car"/>
    <w:basedOn w:val="Policepardfaut"/>
    <w:link w:val="Titre7"/>
    <w:uiPriority w:val="9"/>
    <w:semiHidden/>
    <w:rsid w:val="00C34DFF"/>
    <w:rPr>
      <w:rFonts w:asciiTheme="majorHAnsi" w:eastAsiaTheme="majorEastAsia" w:hAnsiTheme="majorHAnsi" w:cstheme="majorBidi"/>
      <w:i/>
      <w:iCs/>
      <w:color w:val="243F60" w:themeColor="accent1" w:themeShade="7F"/>
      <w:sz w:val="24"/>
      <w:szCs w:val="24"/>
      <w:lang w:eastAsia="es-ES"/>
    </w:rPr>
  </w:style>
  <w:style w:type="character" w:styleId="lev">
    <w:name w:val="Strong"/>
    <w:basedOn w:val="Policepardfaut"/>
    <w:uiPriority w:val="22"/>
    <w:qFormat/>
    <w:rsid w:val="007A6288"/>
    <w:rPr>
      <w:b/>
      <w:bCs/>
    </w:rPr>
  </w:style>
  <w:style w:type="paragraph" w:customStyle="1" w:styleId="gmail-m-117888043849725832-lettretextegeda">
    <w:name w:val="gmail-m_-117888043849725832-lettretextegeda"/>
    <w:basedOn w:val="Normal"/>
    <w:rsid w:val="003444A6"/>
    <w:pPr>
      <w:spacing w:before="100" w:beforeAutospacing="1" w:after="100" w:afterAutospacing="1"/>
    </w:pPr>
    <w:rPr>
      <w:lang w:eastAsia="fr-FR"/>
    </w:rPr>
  </w:style>
  <w:style w:type="character" w:customStyle="1" w:styleId="verdana">
    <w:name w:val="verdana"/>
    <w:basedOn w:val="Policepardfaut"/>
    <w:rsid w:val="00922ABB"/>
  </w:style>
  <w:style w:type="paragraph" w:styleId="Textedebulles">
    <w:name w:val="Balloon Text"/>
    <w:basedOn w:val="Normal"/>
    <w:link w:val="TextedebullesCar"/>
    <w:uiPriority w:val="99"/>
    <w:semiHidden/>
    <w:unhideWhenUsed/>
    <w:rsid w:val="0042227C"/>
    <w:rPr>
      <w:rFonts w:ascii="Tahoma" w:hAnsi="Tahoma" w:cs="Tahoma"/>
      <w:sz w:val="16"/>
      <w:szCs w:val="16"/>
    </w:rPr>
  </w:style>
  <w:style w:type="character" w:customStyle="1" w:styleId="TextedebullesCar">
    <w:name w:val="Texte de bulles Car"/>
    <w:basedOn w:val="Policepardfaut"/>
    <w:link w:val="Textedebulles"/>
    <w:uiPriority w:val="99"/>
    <w:semiHidden/>
    <w:rsid w:val="0042227C"/>
    <w:rPr>
      <w:rFonts w:ascii="Tahoma" w:eastAsia="Times New Roman" w:hAnsi="Tahoma" w:cs="Tahoma"/>
      <w:sz w:val="16"/>
      <w:szCs w:val="16"/>
      <w:lang w:eastAsia="es-ES"/>
    </w:rPr>
  </w:style>
  <w:style w:type="paragraph" w:customStyle="1" w:styleId="-LettreTexteespacGEDA">
    <w:name w:val="- Lettre:Texte espacé    GEDA"/>
    <w:basedOn w:val="-LettreTexteGEDA"/>
    <w:next w:val="-LettreTexteGEDA"/>
    <w:rsid w:val="009401EA"/>
    <w:pPr>
      <w:spacing w:before="360"/>
    </w:pPr>
  </w:style>
  <w:style w:type="paragraph" w:customStyle="1" w:styleId="-LettreTitreGEDA">
    <w:name w:val="- Lettre:Titre                 GEDA"/>
    <w:rsid w:val="00F246BA"/>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textAlignment w:val="baseline"/>
    </w:pPr>
    <w:rPr>
      <w:rFonts w:ascii="Times New Roman" w:eastAsia="Times New Roman" w:hAnsi="Times New Roman" w:cs="Times New Roman"/>
      <w:b/>
      <w:noProof/>
      <w:sz w:val="28"/>
      <w:szCs w:val="20"/>
      <w:lang w:eastAsia="fr-FR"/>
    </w:rPr>
  </w:style>
  <w:style w:type="paragraph" w:customStyle="1" w:styleId="Corps">
    <w:name w:val="Corps"/>
    <w:rsid w:val="004B281C"/>
    <w:pPr>
      <w:pBdr>
        <w:top w:val="nil"/>
        <w:left w:val="nil"/>
        <w:bottom w:val="nil"/>
        <w:right w:val="nil"/>
        <w:between w:val="nil"/>
        <w:bar w:val="nil"/>
      </w:pBdr>
      <w:spacing w:after="0" w:line="240" w:lineRule="auto"/>
    </w:pPr>
    <w:rPr>
      <w:rFonts w:ascii="Times" w:eastAsia="Arial Unicode MS" w:hAnsi="Times" w:cs="Arial Unicode MS"/>
      <w:color w:val="000000"/>
      <w:sz w:val="24"/>
      <w:szCs w:val="24"/>
      <w:u w:color="000000"/>
      <w:bdr w:val="nil"/>
      <w:lang w:eastAsia="fr-FR"/>
    </w:rPr>
  </w:style>
  <w:style w:type="paragraph" w:styleId="Retraitcorpsdetexte">
    <w:name w:val="Body Text Indent"/>
    <w:basedOn w:val="Normal"/>
    <w:link w:val="RetraitcorpsdetexteCar"/>
    <w:uiPriority w:val="99"/>
    <w:unhideWhenUsed/>
    <w:rsid w:val="00822FDE"/>
    <w:pPr>
      <w:spacing w:after="120"/>
      <w:ind w:left="283"/>
    </w:pPr>
  </w:style>
  <w:style w:type="character" w:customStyle="1" w:styleId="RetraitcorpsdetexteCar">
    <w:name w:val="Retrait corps de texte Car"/>
    <w:basedOn w:val="Policepardfaut"/>
    <w:link w:val="Retraitcorpsdetexte"/>
    <w:uiPriority w:val="99"/>
    <w:rsid w:val="00822FDE"/>
    <w:rPr>
      <w:rFonts w:ascii="Times New Roman" w:eastAsia="Times New Roman" w:hAnsi="Times New Roman" w:cs="Times New Roman"/>
      <w:sz w:val="24"/>
      <w:szCs w:val="24"/>
      <w:lang w:eastAsia="es-ES"/>
    </w:rPr>
  </w:style>
  <w:style w:type="paragraph" w:customStyle="1" w:styleId="-lettretextegeda0">
    <w:name w:val="-lettretextegeda"/>
    <w:basedOn w:val="Normal"/>
    <w:rsid w:val="00247536"/>
    <w:pPr>
      <w:spacing w:before="100" w:beforeAutospacing="1" w:after="100" w:afterAutospacing="1"/>
    </w:pPr>
    <w:rPr>
      <w:lang w:eastAsia="fr-FR"/>
    </w:rPr>
  </w:style>
  <w:style w:type="character" w:customStyle="1" w:styleId="st">
    <w:name w:val="st"/>
    <w:basedOn w:val="Policepardfaut"/>
    <w:rsid w:val="00264EF2"/>
  </w:style>
  <w:style w:type="character" w:customStyle="1" w:styleId="cmddetails">
    <w:name w:val="cmd_details"/>
    <w:basedOn w:val="Policepardfaut"/>
    <w:rsid w:val="00264EF2"/>
  </w:style>
  <w:style w:type="character" w:styleId="Accentuation">
    <w:name w:val="Emphasis"/>
    <w:basedOn w:val="Policepardfaut"/>
    <w:uiPriority w:val="20"/>
    <w:qFormat/>
    <w:rsid w:val="00264EF2"/>
    <w:rPr>
      <w:i/>
      <w:iCs/>
    </w:rPr>
  </w:style>
  <w:style w:type="paragraph" w:customStyle="1" w:styleId="-acteattenduvugeda0">
    <w:name w:val="-acteattenduvugeda"/>
    <w:basedOn w:val="Normal"/>
    <w:rsid w:val="00264EF2"/>
    <w:pPr>
      <w:spacing w:before="100" w:beforeAutospacing="1" w:after="100" w:afterAutospacing="1"/>
    </w:pPr>
    <w:rPr>
      <w:rFonts w:eastAsiaTheme="minorHAnsi"/>
      <w:color w:val="000000"/>
      <w:lang w:eastAsia="fr-FR"/>
    </w:rPr>
  </w:style>
  <w:style w:type="paragraph" w:customStyle="1" w:styleId="-DiversLigneinvisibleGEDA">
    <w:name w:val="- Divers:Ligne invisible   GEDA"/>
    <w:basedOn w:val="Normal"/>
    <w:rsid w:val="00264EF2"/>
    <w:pPr>
      <w:overflowPunct w:val="0"/>
      <w:autoSpaceDE w:val="0"/>
      <w:autoSpaceDN w:val="0"/>
    </w:pPr>
    <w:rPr>
      <w:rFonts w:eastAsiaTheme="minorHAnsi"/>
      <w:vanish/>
      <w:sz w:val="2"/>
      <w:szCs w:val="2"/>
      <w:lang w:eastAsia="fr-FR"/>
    </w:rPr>
  </w:style>
  <w:style w:type="character" w:customStyle="1" w:styleId="ParagraphedelisteCar">
    <w:name w:val="Paragraphe de liste Car"/>
    <w:basedOn w:val="Policepardfaut"/>
    <w:link w:val="Paragraphedeliste"/>
    <w:uiPriority w:val="34"/>
    <w:rsid w:val="00BD7B99"/>
    <w:rPr>
      <w:rFonts w:ascii="Calibri" w:eastAsia="Calibri" w:hAnsi="Calibri" w:cs="Times New Roman"/>
    </w:rPr>
  </w:style>
  <w:style w:type="paragraph" w:customStyle="1" w:styleId="-EnteteTitreGEDA">
    <w:name w:val="- Entete:Titre                GEDA"/>
    <w:basedOn w:val="Normal"/>
    <w:rsid w:val="00D531A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eastAsia="fr-FR"/>
    </w:rPr>
  </w:style>
  <w:style w:type="paragraph" w:styleId="Notedebasdepage">
    <w:name w:val="footnote text"/>
    <w:basedOn w:val="Normal"/>
    <w:link w:val="NotedebasdepageCar"/>
    <w:uiPriority w:val="99"/>
    <w:semiHidden/>
    <w:unhideWhenUsed/>
    <w:rsid w:val="00825657"/>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825657"/>
    <w:rPr>
      <w:rFonts w:ascii="Times New Roman" w:hAnsi="Times New Roman" w:cs="Times New Roman"/>
      <w:sz w:val="20"/>
      <w:szCs w:val="20"/>
    </w:rPr>
  </w:style>
  <w:style w:type="character" w:styleId="Appelnotedebasdep">
    <w:name w:val="footnote reference"/>
    <w:basedOn w:val="Policepardfaut"/>
    <w:uiPriority w:val="99"/>
    <w:semiHidden/>
    <w:unhideWhenUsed/>
    <w:rsid w:val="00825657"/>
    <w:rPr>
      <w:vertAlign w:val="superscript"/>
    </w:rPr>
  </w:style>
  <w:style w:type="paragraph" w:customStyle="1" w:styleId="-ActeArticlecontenuGEDA">
    <w:name w:val="- Acte:Article (contenu)           GEDA"/>
    <w:rsid w:val="00EB145A"/>
    <w:pPr>
      <w:numPr>
        <w:numId w:val="4"/>
      </w:numPr>
      <w:spacing w:before="60" w:after="0" w:line="240" w:lineRule="auto"/>
      <w:jc w:val="both"/>
    </w:pPr>
    <w:rPr>
      <w:rFonts w:ascii="Times New Roman" w:eastAsia="Times New Roman" w:hAnsi="Times New Roman" w:cs="Times New Roman"/>
      <w:sz w:val="24"/>
      <w:szCs w:val="20"/>
      <w:lang w:eastAsia="fr-FR"/>
    </w:rPr>
  </w:style>
  <w:style w:type="paragraph" w:styleId="Listepuces">
    <w:name w:val="List Bullet"/>
    <w:aliases w:val="List 1,Enum1"/>
    <w:basedOn w:val="Normal"/>
    <w:uiPriority w:val="3"/>
    <w:semiHidden/>
    <w:unhideWhenUsed/>
    <w:qFormat/>
    <w:rsid w:val="00974CB1"/>
    <w:pPr>
      <w:spacing w:after="200" w:line="276" w:lineRule="auto"/>
    </w:pPr>
    <w:rPr>
      <w:rFonts w:asciiTheme="minorHAnsi" w:eastAsiaTheme="minorHAnsi" w:hAnsiTheme="minorHAnsi" w:cstheme="minorBidi"/>
      <w:sz w:val="22"/>
      <w:szCs w:val="22"/>
      <w:lang w:eastAsia="en-US"/>
    </w:rPr>
  </w:style>
  <w:style w:type="paragraph" w:customStyle="1" w:styleId="Pardfaut">
    <w:name w:val="Par défaut"/>
    <w:rsid w:val="00F8068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fr-FR"/>
    </w:rPr>
  </w:style>
  <w:style w:type="paragraph" w:styleId="Corpsdetexte2">
    <w:name w:val="Body Text 2"/>
    <w:basedOn w:val="Normal"/>
    <w:link w:val="Corpsdetexte2Car"/>
    <w:uiPriority w:val="99"/>
    <w:semiHidden/>
    <w:unhideWhenUsed/>
    <w:rsid w:val="002D6359"/>
    <w:pPr>
      <w:spacing w:after="120" w:line="480" w:lineRule="auto"/>
    </w:pPr>
  </w:style>
  <w:style w:type="character" w:customStyle="1" w:styleId="Corpsdetexte2Car">
    <w:name w:val="Corps de texte 2 Car"/>
    <w:basedOn w:val="Policepardfaut"/>
    <w:link w:val="Corpsdetexte2"/>
    <w:uiPriority w:val="99"/>
    <w:semiHidden/>
    <w:rsid w:val="002D6359"/>
    <w:rPr>
      <w:rFonts w:ascii="Times New Roman" w:eastAsia="Times New Roman" w:hAnsi="Times New Roman" w:cs="Times New Roman"/>
      <w:sz w:val="24"/>
      <w:szCs w:val="24"/>
      <w:lang w:eastAsia="es-ES"/>
    </w:rPr>
  </w:style>
  <w:style w:type="paragraph" w:customStyle="1" w:styleId="Default">
    <w:name w:val="Default"/>
    <w:rsid w:val="00982775"/>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customStyle="1" w:styleId="5yl5">
    <w:name w:val="_5yl5"/>
    <w:basedOn w:val="Policepardfaut"/>
    <w:rsid w:val="00514734"/>
  </w:style>
  <w:style w:type="character" w:customStyle="1" w:styleId="Titre1Car">
    <w:name w:val="Titre 1 Car"/>
    <w:basedOn w:val="Policepardfaut"/>
    <w:link w:val="Titre1"/>
    <w:uiPriority w:val="9"/>
    <w:rsid w:val="00DD7B19"/>
    <w:rPr>
      <w:rFonts w:asciiTheme="majorHAnsi" w:eastAsiaTheme="majorEastAsia" w:hAnsiTheme="majorHAnsi" w:cstheme="majorBidi"/>
      <w:b/>
      <w:bCs/>
      <w:color w:val="365F91" w:themeColor="accent1" w:themeShade="BF"/>
      <w:sz w:val="28"/>
      <w:szCs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75275">
      <w:bodyDiv w:val="1"/>
      <w:marLeft w:val="0"/>
      <w:marRight w:val="0"/>
      <w:marTop w:val="0"/>
      <w:marBottom w:val="0"/>
      <w:divBdr>
        <w:top w:val="none" w:sz="0" w:space="0" w:color="auto"/>
        <w:left w:val="none" w:sz="0" w:space="0" w:color="auto"/>
        <w:bottom w:val="none" w:sz="0" w:space="0" w:color="auto"/>
        <w:right w:val="none" w:sz="0" w:space="0" w:color="auto"/>
      </w:divBdr>
    </w:div>
    <w:div w:id="33192629">
      <w:bodyDiv w:val="1"/>
      <w:marLeft w:val="0"/>
      <w:marRight w:val="0"/>
      <w:marTop w:val="0"/>
      <w:marBottom w:val="0"/>
      <w:divBdr>
        <w:top w:val="none" w:sz="0" w:space="0" w:color="auto"/>
        <w:left w:val="none" w:sz="0" w:space="0" w:color="auto"/>
        <w:bottom w:val="none" w:sz="0" w:space="0" w:color="auto"/>
        <w:right w:val="none" w:sz="0" w:space="0" w:color="auto"/>
      </w:divBdr>
    </w:div>
    <w:div w:id="36249696">
      <w:bodyDiv w:val="1"/>
      <w:marLeft w:val="0"/>
      <w:marRight w:val="0"/>
      <w:marTop w:val="0"/>
      <w:marBottom w:val="0"/>
      <w:divBdr>
        <w:top w:val="none" w:sz="0" w:space="0" w:color="auto"/>
        <w:left w:val="none" w:sz="0" w:space="0" w:color="auto"/>
        <w:bottom w:val="none" w:sz="0" w:space="0" w:color="auto"/>
        <w:right w:val="none" w:sz="0" w:space="0" w:color="auto"/>
      </w:divBdr>
    </w:div>
    <w:div w:id="70272455">
      <w:bodyDiv w:val="1"/>
      <w:marLeft w:val="0"/>
      <w:marRight w:val="0"/>
      <w:marTop w:val="0"/>
      <w:marBottom w:val="0"/>
      <w:divBdr>
        <w:top w:val="none" w:sz="0" w:space="0" w:color="auto"/>
        <w:left w:val="none" w:sz="0" w:space="0" w:color="auto"/>
        <w:bottom w:val="none" w:sz="0" w:space="0" w:color="auto"/>
        <w:right w:val="none" w:sz="0" w:space="0" w:color="auto"/>
      </w:divBdr>
    </w:div>
    <w:div w:id="122356157">
      <w:bodyDiv w:val="1"/>
      <w:marLeft w:val="0"/>
      <w:marRight w:val="0"/>
      <w:marTop w:val="0"/>
      <w:marBottom w:val="0"/>
      <w:divBdr>
        <w:top w:val="none" w:sz="0" w:space="0" w:color="auto"/>
        <w:left w:val="none" w:sz="0" w:space="0" w:color="auto"/>
        <w:bottom w:val="none" w:sz="0" w:space="0" w:color="auto"/>
        <w:right w:val="none" w:sz="0" w:space="0" w:color="auto"/>
      </w:divBdr>
    </w:div>
    <w:div w:id="138622221">
      <w:bodyDiv w:val="1"/>
      <w:marLeft w:val="0"/>
      <w:marRight w:val="0"/>
      <w:marTop w:val="0"/>
      <w:marBottom w:val="0"/>
      <w:divBdr>
        <w:top w:val="none" w:sz="0" w:space="0" w:color="auto"/>
        <w:left w:val="none" w:sz="0" w:space="0" w:color="auto"/>
        <w:bottom w:val="none" w:sz="0" w:space="0" w:color="auto"/>
        <w:right w:val="none" w:sz="0" w:space="0" w:color="auto"/>
      </w:divBdr>
    </w:div>
    <w:div w:id="178011378">
      <w:bodyDiv w:val="1"/>
      <w:marLeft w:val="0"/>
      <w:marRight w:val="0"/>
      <w:marTop w:val="0"/>
      <w:marBottom w:val="0"/>
      <w:divBdr>
        <w:top w:val="none" w:sz="0" w:space="0" w:color="auto"/>
        <w:left w:val="none" w:sz="0" w:space="0" w:color="auto"/>
        <w:bottom w:val="none" w:sz="0" w:space="0" w:color="auto"/>
        <w:right w:val="none" w:sz="0" w:space="0" w:color="auto"/>
      </w:divBdr>
    </w:div>
    <w:div w:id="242298577">
      <w:bodyDiv w:val="1"/>
      <w:marLeft w:val="0"/>
      <w:marRight w:val="0"/>
      <w:marTop w:val="0"/>
      <w:marBottom w:val="0"/>
      <w:divBdr>
        <w:top w:val="none" w:sz="0" w:space="0" w:color="auto"/>
        <w:left w:val="none" w:sz="0" w:space="0" w:color="auto"/>
        <w:bottom w:val="none" w:sz="0" w:space="0" w:color="auto"/>
        <w:right w:val="none" w:sz="0" w:space="0" w:color="auto"/>
      </w:divBdr>
    </w:div>
    <w:div w:id="268662804">
      <w:bodyDiv w:val="1"/>
      <w:marLeft w:val="0"/>
      <w:marRight w:val="0"/>
      <w:marTop w:val="0"/>
      <w:marBottom w:val="0"/>
      <w:divBdr>
        <w:top w:val="none" w:sz="0" w:space="0" w:color="auto"/>
        <w:left w:val="none" w:sz="0" w:space="0" w:color="auto"/>
        <w:bottom w:val="none" w:sz="0" w:space="0" w:color="auto"/>
        <w:right w:val="none" w:sz="0" w:space="0" w:color="auto"/>
      </w:divBdr>
    </w:div>
    <w:div w:id="287274897">
      <w:bodyDiv w:val="1"/>
      <w:marLeft w:val="0"/>
      <w:marRight w:val="0"/>
      <w:marTop w:val="0"/>
      <w:marBottom w:val="0"/>
      <w:divBdr>
        <w:top w:val="none" w:sz="0" w:space="0" w:color="auto"/>
        <w:left w:val="none" w:sz="0" w:space="0" w:color="auto"/>
        <w:bottom w:val="none" w:sz="0" w:space="0" w:color="auto"/>
        <w:right w:val="none" w:sz="0" w:space="0" w:color="auto"/>
      </w:divBdr>
    </w:div>
    <w:div w:id="319699831">
      <w:bodyDiv w:val="1"/>
      <w:marLeft w:val="0"/>
      <w:marRight w:val="0"/>
      <w:marTop w:val="0"/>
      <w:marBottom w:val="0"/>
      <w:divBdr>
        <w:top w:val="none" w:sz="0" w:space="0" w:color="auto"/>
        <w:left w:val="none" w:sz="0" w:space="0" w:color="auto"/>
        <w:bottom w:val="none" w:sz="0" w:space="0" w:color="auto"/>
        <w:right w:val="none" w:sz="0" w:space="0" w:color="auto"/>
      </w:divBdr>
    </w:div>
    <w:div w:id="321468983">
      <w:bodyDiv w:val="1"/>
      <w:marLeft w:val="0"/>
      <w:marRight w:val="0"/>
      <w:marTop w:val="0"/>
      <w:marBottom w:val="0"/>
      <w:divBdr>
        <w:top w:val="none" w:sz="0" w:space="0" w:color="auto"/>
        <w:left w:val="none" w:sz="0" w:space="0" w:color="auto"/>
        <w:bottom w:val="none" w:sz="0" w:space="0" w:color="auto"/>
        <w:right w:val="none" w:sz="0" w:space="0" w:color="auto"/>
      </w:divBdr>
    </w:div>
    <w:div w:id="328097447">
      <w:bodyDiv w:val="1"/>
      <w:marLeft w:val="0"/>
      <w:marRight w:val="0"/>
      <w:marTop w:val="0"/>
      <w:marBottom w:val="0"/>
      <w:divBdr>
        <w:top w:val="none" w:sz="0" w:space="0" w:color="auto"/>
        <w:left w:val="none" w:sz="0" w:space="0" w:color="auto"/>
        <w:bottom w:val="none" w:sz="0" w:space="0" w:color="auto"/>
        <w:right w:val="none" w:sz="0" w:space="0" w:color="auto"/>
      </w:divBdr>
    </w:div>
    <w:div w:id="346172601">
      <w:bodyDiv w:val="1"/>
      <w:marLeft w:val="0"/>
      <w:marRight w:val="0"/>
      <w:marTop w:val="0"/>
      <w:marBottom w:val="0"/>
      <w:divBdr>
        <w:top w:val="none" w:sz="0" w:space="0" w:color="auto"/>
        <w:left w:val="none" w:sz="0" w:space="0" w:color="auto"/>
        <w:bottom w:val="none" w:sz="0" w:space="0" w:color="auto"/>
        <w:right w:val="none" w:sz="0" w:space="0" w:color="auto"/>
      </w:divBdr>
    </w:div>
    <w:div w:id="354889368">
      <w:bodyDiv w:val="1"/>
      <w:marLeft w:val="0"/>
      <w:marRight w:val="0"/>
      <w:marTop w:val="0"/>
      <w:marBottom w:val="0"/>
      <w:divBdr>
        <w:top w:val="none" w:sz="0" w:space="0" w:color="auto"/>
        <w:left w:val="none" w:sz="0" w:space="0" w:color="auto"/>
        <w:bottom w:val="none" w:sz="0" w:space="0" w:color="auto"/>
        <w:right w:val="none" w:sz="0" w:space="0" w:color="auto"/>
      </w:divBdr>
    </w:div>
    <w:div w:id="377516563">
      <w:bodyDiv w:val="1"/>
      <w:marLeft w:val="0"/>
      <w:marRight w:val="0"/>
      <w:marTop w:val="0"/>
      <w:marBottom w:val="0"/>
      <w:divBdr>
        <w:top w:val="none" w:sz="0" w:space="0" w:color="auto"/>
        <w:left w:val="none" w:sz="0" w:space="0" w:color="auto"/>
        <w:bottom w:val="none" w:sz="0" w:space="0" w:color="auto"/>
        <w:right w:val="none" w:sz="0" w:space="0" w:color="auto"/>
      </w:divBdr>
    </w:div>
    <w:div w:id="397829230">
      <w:bodyDiv w:val="1"/>
      <w:marLeft w:val="0"/>
      <w:marRight w:val="0"/>
      <w:marTop w:val="0"/>
      <w:marBottom w:val="0"/>
      <w:divBdr>
        <w:top w:val="none" w:sz="0" w:space="0" w:color="auto"/>
        <w:left w:val="none" w:sz="0" w:space="0" w:color="auto"/>
        <w:bottom w:val="none" w:sz="0" w:space="0" w:color="auto"/>
        <w:right w:val="none" w:sz="0" w:space="0" w:color="auto"/>
      </w:divBdr>
    </w:div>
    <w:div w:id="399063910">
      <w:bodyDiv w:val="1"/>
      <w:marLeft w:val="0"/>
      <w:marRight w:val="0"/>
      <w:marTop w:val="0"/>
      <w:marBottom w:val="0"/>
      <w:divBdr>
        <w:top w:val="none" w:sz="0" w:space="0" w:color="auto"/>
        <w:left w:val="none" w:sz="0" w:space="0" w:color="auto"/>
        <w:bottom w:val="none" w:sz="0" w:space="0" w:color="auto"/>
        <w:right w:val="none" w:sz="0" w:space="0" w:color="auto"/>
      </w:divBdr>
    </w:div>
    <w:div w:id="425854381">
      <w:bodyDiv w:val="1"/>
      <w:marLeft w:val="0"/>
      <w:marRight w:val="0"/>
      <w:marTop w:val="0"/>
      <w:marBottom w:val="0"/>
      <w:divBdr>
        <w:top w:val="none" w:sz="0" w:space="0" w:color="auto"/>
        <w:left w:val="none" w:sz="0" w:space="0" w:color="auto"/>
        <w:bottom w:val="none" w:sz="0" w:space="0" w:color="auto"/>
        <w:right w:val="none" w:sz="0" w:space="0" w:color="auto"/>
      </w:divBdr>
    </w:div>
    <w:div w:id="432821695">
      <w:bodyDiv w:val="1"/>
      <w:marLeft w:val="0"/>
      <w:marRight w:val="0"/>
      <w:marTop w:val="0"/>
      <w:marBottom w:val="0"/>
      <w:divBdr>
        <w:top w:val="none" w:sz="0" w:space="0" w:color="auto"/>
        <w:left w:val="none" w:sz="0" w:space="0" w:color="auto"/>
        <w:bottom w:val="none" w:sz="0" w:space="0" w:color="auto"/>
        <w:right w:val="none" w:sz="0" w:space="0" w:color="auto"/>
      </w:divBdr>
    </w:div>
    <w:div w:id="455683210">
      <w:bodyDiv w:val="1"/>
      <w:marLeft w:val="0"/>
      <w:marRight w:val="0"/>
      <w:marTop w:val="0"/>
      <w:marBottom w:val="0"/>
      <w:divBdr>
        <w:top w:val="none" w:sz="0" w:space="0" w:color="auto"/>
        <w:left w:val="none" w:sz="0" w:space="0" w:color="auto"/>
        <w:bottom w:val="none" w:sz="0" w:space="0" w:color="auto"/>
        <w:right w:val="none" w:sz="0" w:space="0" w:color="auto"/>
      </w:divBdr>
    </w:div>
    <w:div w:id="465855325">
      <w:bodyDiv w:val="1"/>
      <w:marLeft w:val="0"/>
      <w:marRight w:val="0"/>
      <w:marTop w:val="0"/>
      <w:marBottom w:val="0"/>
      <w:divBdr>
        <w:top w:val="none" w:sz="0" w:space="0" w:color="auto"/>
        <w:left w:val="none" w:sz="0" w:space="0" w:color="auto"/>
        <w:bottom w:val="none" w:sz="0" w:space="0" w:color="auto"/>
        <w:right w:val="none" w:sz="0" w:space="0" w:color="auto"/>
      </w:divBdr>
    </w:div>
    <w:div w:id="483934463">
      <w:bodyDiv w:val="1"/>
      <w:marLeft w:val="0"/>
      <w:marRight w:val="0"/>
      <w:marTop w:val="0"/>
      <w:marBottom w:val="0"/>
      <w:divBdr>
        <w:top w:val="none" w:sz="0" w:space="0" w:color="auto"/>
        <w:left w:val="none" w:sz="0" w:space="0" w:color="auto"/>
        <w:bottom w:val="none" w:sz="0" w:space="0" w:color="auto"/>
        <w:right w:val="none" w:sz="0" w:space="0" w:color="auto"/>
      </w:divBdr>
    </w:div>
    <w:div w:id="538737681">
      <w:bodyDiv w:val="1"/>
      <w:marLeft w:val="0"/>
      <w:marRight w:val="0"/>
      <w:marTop w:val="0"/>
      <w:marBottom w:val="0"/>
      <w:divBdr>
        <w:top w:val="none" w:sz="0" w:space="0" w:color="auto"/>
        <w:left w:val="none" w:sz="0" w:space="0" w:color="auto"/>
        <w:bottom w:val="none" w:sz="0" w:space="0" w:color="auto"/>
        <w:right w:val="none" w:sz="0" w:space="0" w:color="auto"/>
      </w:divBdr>
    </w:div>
    <w:div w:id="541556659">
      <w:bodyDiv w:val="1"/>
      <w:marLeft w:val="0"/>
      <w:marRight w:val="0"/>
      <w:marTop w:val="0"/>
      <w:marBottom w:val="0"/>
      <w:divBdr>
        <w:top w:val="none" w:sz="0" w:space="0" w:color="auto"/>
        <w:left w:val="none" w:sz="0" w:space="0" w:color="auto"/>
        <w:bottom w:val="none" w:sz="0" w:space="0" w:color="auto"/>
        <w:right w:val="none" w:sz="0" w:space="0" w:color="auto"/>
      </w:divBdr>
    </w:div>
    <w:div w:id="572204557">
      <w:bodyDiv w:val="1"/>
      <w:marLeft w:val="0"/>
      <w:marRight w:val="0"/>
      <w:marTop w:val="0"/>
      <w:marBottom w:val="0"/>
      <w:divBdr>
        <w:top w:val="none" w:sz="0" w:space="0" w:color="auto"/>
        <w:left w:val="none" w:sz="0" w:space="0" w:color="auto"/>
        <w:bottom w:val="none" w:sz="0" w:space="0" w:color="auto"/>
        <w:right w:val="none" w:sz="0" w:space="0" w:color="auto"/>
      </w:divBdr>
    </w:div>
    <w:div w:id="593318301">
      <w:bodyDiv w:val="1"/>
      <w:marLeft w:val="0"/>
      <w:marRight w:val="0"/>
      <w:marTop w:val="0"/>
      <w:marBottom w:val="0"/>
      <w:divBdr>
        <w:top w:val="none" w:sz="0" w:space="0" w:color="auto"/>
        <w:left w:val="none" w:sz="0" w:space="0" w:color="auto"/>
        <w:bottom w:val="none" w:sz="0" w:space="0" w:color="auto"/>
        <w:right w:val="none" w:sz="0" w:space="0" w:color="auto"/>
      </w:divBdr>
    </w:div>
    <w:div w:id="598561953">
      <w:bodyDiv w:val="1"/>
      <w:marLeft w:val="0"/>
      <w:marRight w:val="0"/>
      <w:marTop w:val="0"/>
      <w:marBottom w:val="0"/>
      <w:divBdr>
        <w:top w:val="none" w:sz="0" w:space="0" w:color="auto"/>
        <w:left w:val="none" w:sz="0" w:space="0" w:color="auto"/>
        <w:bottom w:val="none" w:sz="0" w:space="0" w:color="auto"/>
        <w:right w:val="none" w:sz="0" w:space="0" w:color="auto"/>
      </w:divBdr>
    </w:div>
    <w:div w:id="680814434">
      <w:bodyDiv w:val="1"/>
      <w:marLeft w:val="0"/>
      <w:marRight w:val="0"/>
      <w:marTop w:val="0"/>
      <w:marBottom w:val="0"/>
      <w:divBdr>
        <w:top w:val="none" w:sz="0" w:space="0" w:color="auto"/>
        <w:left w:val="none" w:sz="0" w:space="0" w:color="auto"/>
        <w:bottom w:val="none" w:sz="0" w:space="0" w:color="auto"/>
        <w:right w:val="none" w:sz="0" w:space="0" w:color="auto"/>
      </w:divBdr>
    </w:div>
    <w:div w:id="696002390">
      <w:bodyDiv w:val="1"/>
      <w:marLeft w:val="0"/>
      <w:marRight w:val="0"/>
      <w:marTop w:val="0"/>
      <w:marBottom w:val="0"/>
      <w:divBdr>
        <w:top w:val="none" w:sz="0" w:space="0" w:color="auto"/>
        <w:left w:val="none" w:sz="0" w:space="0" w:color="auto"/>
        <w:bottom w:val="none" w:sz="0" w:space="0" w:color="auto"/>
        <w:right w:val="none" w:sz="0" w:space="0" w:color="auto"/>
      </w:divBdr>
    </w:div>
    <w:div w:id="699090129">
      <w:bodyDiv w:val="1"/>
      <w:marLeft w:val="0"/>
      <w:marRight w:val="0"/>
      <w:marTop w:val="0"/>
      <w:marBottom w:val="0"/>
      <w:divBdr>
        <w:top w:val="none" w:sz="0" w:space="0" w:color="auto"/>
        <w:left w:val="none" w:sz="0" w:space="0" w:color="auto"/>
        <w:bottom w:val="none" w:sz="0" w:space="0" w:color="auto"/>
        <w:right w:val="none" w:sz="0" w:space="0" w:color="auto"/>
      </w:divBdr>
    </w:div>
    <w:div w:id="727530447">
      <w:bodyDiv w:val="1"/>
      <w:marLeft w:val="0"/>
      <w:marRight w:val="0"/>
      <w:marTop w:val="0"/>
      <w:marBottom w:val="0"/>
      <w:divBdr>
        <w:top w:val="none" w:sz="0" w:space="0" w:color="auto"/>
        <w:left w:val="none" w:sz="0" w:space="0" w:color="auto"/>
        <w:bottom w:val="none" w:sz="0" w:space="0" w:color="auto"/>
        <w:right w:val="none" w:sz="0" w:space="0" w:color="auto"/>
      </w:divBdr>
    </w:div>
    <w:div w:id="789130903">
      <w:bodyDiv w:val="1"/>
      <w:marLeft w:val="0"/>
      <w:marRight w:val="0"/>
      <w:marTop w:val="0"/>
      <w:marBottom w:val="0"/>
      <w:divBdr>
        <w:top w:val="none" w:sz="0" w:space="0" w:color="auto"/>
        <w:left w:val="none" w:sz="0" w:space="0" w:color="auto"/>
        <w:bottom w:val="none" w:sz="0" w:space="0" w:color="auto"/>
        <w:right w:val="none" w:sz="0" w:space="0" w:color="auto"/>
      </w:divBdr>
    </w:div>
    <w:div w:id="882668452">
      <w:bodyDiv w:val="1"/>
      <w:marLeft w:val="0"/>
      <w:marRight w:val="0"/>
      <w:marTop w:val="0"/>
      <w:marBottom w:val="0"/>
      <w:divBdr>
        <w:top w:val="none" w:sz="0" w:space="0" w:color="auto"/>
        <w:left w:val="none" w:sz="0" w:space="0" w:color="auto"/>
        <w:bottom w:val="none" w:sz="0" w:space="0" w:color="auto"/>
        <w:right w:val="none" w:sz="0" w:space="0" w:color="auto"/>
      </w:divBdr>
    </w:div>
    <w:div w:id="928318652">
      <w:bodyDiv w:val="1"/>
      <w:marLeft w:val="0"/>
      <w:marRight w:val="0"/>
      <w:marTop w:val="0"/>
      <w:marBottom w:val="0"/>
      <w:divBdr>
        <w:top w:val="none" w:sz="0" w:space="0" w:color="auto"/>
        <w:left w:val="none" w:sz="0" w:space="0" w:color="auto"/>
        <w:bottom w:val="none" w:sz="0" w:space="0" w:color="auto"/>
        <w:right w:val="none" w:sz="0" w:space="0" w:color="auto"/>
      </w:divBdr>
    </w:div>
    <w:div w:id="946348967">
      <w:bodyDiv w:val="1"/>
      <w:marLeft w:val="0"/>
      <w:marRight w:val="0"/>
      <w:marTop w:val="0"/>
      <w:marBottom w:val="0"/>
      <w:divBdr>
        <w:top w:val="none" w:sz="0" w:space="0" w:color="auto"/>
        <w:left w:val="none" w:sz="0" w:space="0" w:color="auto"/>
        <w:bottom w:val="none" w:sz="0" w:space="0" w:color="auto"/>
        <w:right w:val="none" w:sz="0" w:space="0" w:color="auto"/>
      </w:divBdr>
    </w:div>
    <w:div w:id="947926583">
      <w:bodyDiv w:val="1"/>
      <w:marLeft w:val="0"/>
      <w:marRight w:val="0"/>
      <w:marTop w:val="0"/>
      <w:marBottom w:val="0"/>
      <w:divBdr>
        <w:top w:val="none" w:sz="0" w:space="0" w:color="auto"/>
        <w:left w:val="none" w:sz="0" w:space="0" w:color="auto"/>
        <w:bottom w:val="none" w:sz="0" w:space="0" w:color="auto"/>
        <w:right w:val="none" w:sz="0" w:space="0" w:color="auto"/>
      </w:divBdr>
    </w:div>
    <w:div w:id="951548017">
      <w:bodyDiv w:val="1"/>
      <w:marLeft w:val="0"/>
      <w:marRight w:val="0"/>
      <w:marTop w:val="0"/>
      <w:marBottom w:val="0"/>
      <w:divBdr>
        <w:top w:val="none" w:sz="0" w:space="0" w:color="auto"/>
        <w:left w:val="none" w:sz="0" w:space="0" w:color="auto"/>
        <w:bottom w:val="none" w:sz="0" w:space="0" w:color="auto"/>
        <w:right w:val="none" w:sz="0" w:space="0" w:color="auto"/>
      </w:divBdr>
    </w:div>
    <w:div w:id="977035242">
      <w:bodyDiv w:val="1"/>
      <w:marLeft w:val="0"/>
      <w:marRight w:val="0"/>
      <w:marTop w:val="0"/>
      <w:marBottom w:val="0"/>
      <w:divBdr>
        <w:top w:val="none" w:sz="0" w:space="0" w:color="auto"/>
        <w:left w:val="none" w:sz="0" w:space="0" w:color="auto"/>
        <w:bottom w:val="none" w:sz="0" w:space="0" w:color="auto"/>
        <w:right w:val="none" w:sz="0" w:space="0" w:color="auto"/>
      </w:divBdr>
    </w:div>
    <w:div w:id="1155880753">
      <w:bodyDiv w:val="1"/>
      <w:marLeft w:val="0"/>
      <w:marRight w:val="0"/>
      <w:marTop w:val="0"/>
      <w:marBottom w:val="0"/>
      <w:divBdr>
        <w:top w:val="none" w:sz="0" w:space="0" w:color="auto"/>
        <w:left w:val="none" w:sz="0" w:space="0" w:color="auto"/>
        <w:bottom w:val="none" w:sz="0" w:space="0" w:color="auto"/>
        <w:right w:val="none" w:sz="0" w:space="0" w:color="auto"/>
      </w:divBdr>
    </w:div>
    <w:div w:id="1170412793">
      <w:bodyDiv w:val="1"/>
      <w:marLeft w:val="0"/>
      <w:marRight w:val="0"/>
      <w:marTop w:val="0"/>
      <w:marBottom w:val="0"/>
      <w:divBdr>
        <w:top w:val="none" w:sz="0" w:space="0" w:color="auto"/>
        <w:left w:val="none" w:sz="0" w:space="0" w:color="auto"/>
        <w:bottom w:val="none" w:sz="0" w:space="0" w:color="auto"/>
        <w:right w:val="none" w:sz="0" w:space="0" w:color="auto"/>
      </w:divBdr>
    </w:div>
    <w:div w:id="1206679654">
      <w:bodyDiv w:val="1"/>
      <w:marLeft w:val="0"/>
      <w:marRight w:val="0"/>
      <w:marTop w:val="0"/>
      <w:marBottom w:val="0"/>
      <w:divBdr>
        <w:top w:val="none" w:sz="0" w:space="0" w:color="auto"/>
        <w:left w:val="none" w:sz="0" w:space="0" w:color="auto"/>
        <w:bottom w:val="none" w:sz="0" w:space="0" w:color="auto"/>
        <w:right w:val="none" w:sz="0" w:space="0" w:color="auto"/>
      </w:divBdr>
    </w:div>
    <w:div w:id="1217085433">
      <w:bodyDiv w:val="1"/>
      <w:marLeft w:val="0"/>
      <w:marRight w:val="0"/>
      <w:marTop w:val="0"/>
      <w:marBottom w:val="0"/>
      <w:divBdr>
        <w:top w:val="none" w:sz="0" w:space="0" w:color="auto"/>
        <w:left w:val="none" w:sz="0" w:space="0" w:color="auto"/>
        <w:bottom w:val="none" w:sz="0" w:space="0" w:color="auto"/>
        <w:right w:val="none" w:sz="0" w:space="0" w:color="auto"/>
      </w:divBdr>
    </w:div>
    <w:div w:id="1290089651">
      <w:bodyDiv w:val="1"/>
      <w:marLeft w:val="0"/>
      <w:marRight w:val="0"/>
      <w:marTop w:val="0"/>
      <w:marBottom w:val="0"/>
      <w:divBdr>
        <w:top w:val="none" w:sz="0" w:space="0" w:color="auto"/>
        <w:left w:val="none" w:sz="0" w:space="0" w:color="auto"/>
        <w:bottom w:val="none" w:sz="0" w:space="0" w:color="auto"/>
        <w:right w:val="none" w:sz="0" w:space="0" w:color="auto"/>
      </w:divBdr>
    </w:div>
    <w:div w:id="1293901679">
      <w:bodyDiv w:val="1"/>
      <w:marLeft w:val="0"/>
      <w:marRight w:val="0"/>
      <w:marTop w:val="0"/>
      <w:marBottom w:val="0"/>
      <w:divBdr>
        <w:top w:val="none" w:sz="0" w:space="0" w:color="auto"/>
        <w:left w:val="none" w:sz="0" w:space="0" w:color="auto"/>
        <w:bottom w:val="none" w:sz="0" w:space="0" w:color="auto"/>
        <w:right w:val="none" w:sz="0" w:space="0" w:color="auto"/>
      </w:divBdr>
    </w:div>
    <w:div w:id="1301887408">
      <w:bodyDiv w:val="1"/>
      <w:marLeft w:val="0"/>
      <w:marRight w:val="0"/>
      <w:marTop w:val="0"/>
      <w:marBottom w:val="0"/>
      <w:divBdr>
        <w:top w:val="none" w:sz="0" w:space="0" w:color="auto"/>
        <w:left w:val="none" w:sz="0" w:space="0" w:color="auto"/>
        <w:bottom w:val="none" w:sz="0" w:space="0" w:color="auto"/>
        <w:right w:val="none" w:sz="0" w:space="0" w:color="auto"/>
      </w:divBdr>
    </w:div>
    <w:div w:id="1371882372">
      <w:bodyDiv w:val="1"/>
      <w:marLeft w:val="0"/>
      <w:marRight w:val="0"/>
      <w:marTop w:val="0"/>
      <w:marBottom w:val="0"/>
      <w:divBdr>
        <w:top w:val="none" w:sz="0" w:space="0" w:color="auto"/>
        <w:left w:val="none" w:sz="0" w:space="0" w:color="auto"/>
        <w:bottom w:val="none" w:sz="0" w:space="0" w:color="auto"/>
        <w:right w:val="none" w:sz="0" w:space="0" w:color="auto"/>
      </w:divBdr>
    </w:div>
    <w:div w:id="1394083987">
      <w:bodyDiv w:val="1"/>
      <w:marLeft w:val="0"/>
      <w:marRight w:val="0"/>
      <w:marTop w:val="0"/>
      <w:marBottom w:val="0"/>
      <w:divBdr>
        <w:top w:val="none" w:sz="0" w:space="0" w:color="auto"/>
        <w:left w:val="none" w:sz="0" w:space="0" w:color="auto"/>
        <w:bottom w:val="none" w:sz="0" w:space="0" w:color="auto"/>
        <w:right w:val="none" w:sz="0" w:space="0" w:color="auto"/>
      </w:divBdr>
    </w:div>
    <w:div w:id="1399092743">
      <w:bodyDiv w:val="1"/>
      <w:marLeft w:val="0"/>
      <w:marRight w:val="0"/>
      <w:marTop w:val="0"/>
      <w:marBottom w:val="0"/>
      <w:divBdr>
        <w:top w:val="none" w:sz="0" w:space="0" w:color="auto"/>
        <w:left w:val="none" w:sz="0" w:space="0" w:color="auto"/>
        <w:bottom w:val="none" w:sz="0" w:space="0" w:color="auto"/>
        <w:right w:val="none" w:sz="0" w:space="0" w:color="auto"/>
      </w:divBdr>
    </w:div>
    <w:div w:id="1413510346">
      <w:bodyDiv w:val="1"/>
      <w:marLeft w:val="0"/>
      <w:marRight w:val="0"/>
      <w:marTop w:val="0"/>
      <w:marBottom w:val="0"/>
      <w:divBdr>
        <w:top w:val="none" w:sz="0" w:space="0" w:color="auto"/>
        <w:left w:val="none" w:sz="0" w:space="0" w:color="auto"/>
        <w:bottom w:val="none" w:sz="0" w:space="0" w:color="auto"/>
        <w:right w:val="none" w:sz="0" w:space="0" w:color="auto"/>
      </w:divBdr>
    </w:div>
    <w:div w:id="1414276314">
      <w:bodyDiv w:val="1"/>
      <w:marLeft w:val="0"/>
      <w:marRight w:val="0"/>
      <w:marTop w:val="0"/>
      <w:marBottom w:val="0"/>
      <w:divBdr>
        <w:top w:val="none" w:sz="0" w:space="0" w:color="auto"/>
        <w:left w:val="none" w:sz="0" w:space="0" w:color="auto"/>
        <w:bottom w:val="none" w:sz="0" w:space="0" w:color="auto"/>
        <w:right w:val="none" w:sz="0" w:space="0" w:color="auto"/>
      </w:divBdr>
    </w:div>
    <w:div w:id="1415973647">
      <w:bodyDiv w:val="1"/>
      <w:marLeft w:val="0"/>
      <w:marRight w:val="0"/>
      <w:marTop w:val="0"/>
      <w:marBottom w:val="0"/>
      <w:divBdr>
        <w:top w:val="none" w:sz="0" w:space="0" w:color="auto"/>
        <w:left w:val="none" w:sz="0" w:space="0" w:color="auto"/>
        <w:bottom w:val="none" w:sz="0" w:space="0" w:color="auto"/>
        <w:right w:val="none" w:sz="0" w:space="0" w:color="auto"/>
      </w:divBdr>
    </w:div>
    <w:div w:id="1416321101">
      <w:bodyDiv w:val="1"/>
      <w:marLeft w:val="0"/>
      <w:marRight w:val="0"/>
      <w:marTop w:val="0"/>
      <w:marBottom w:val="0"/>
      <w:divBdr>
        <w:top w:val="none" w:sz="0" w:space="0" w:color="auto"/>
        <w:left w:val="none" w:sz="0" w:space="0" w:color="auto"/>
        <w:bottom w:val="none" w:sz="0" w:space="0" w:color="auto"/>
        <w:right w:val="none" w:sz="0" w:space="0" w:color="auto"/>
      </w:divBdr>
    </w:div>
    <w:div w:id="1431315204">
      <w:bodyDiv w:val="1"/>
      <w:marLeft w:val="0"/>
      <w:marRight w:val="0"/>
      <w:marTop w:val="0"/>
      <w:marBottom w:val="0"/>
      <w:divBdr>
        <w:top w:val="none" w:sz="0" w:space="0" w:color="auto"/>
        <w:left w:val="none" w:sz="0" w:space="0" w:color="auto"/>
        <w:bottom w:val="none" w:sz="0" w:space="0" w:color="auto"/>
        <w:right w:val="none" w:sz="0" w:space="0" w:color="auto"/>
      </w:divBdr>
    </w:div>
    <w:div w:id="1452479471">
      <w:bodyDiv w:val="1"/>
      <w:marLeft w:val="0"/>
      <w:marRight w:val="0"/>
      <w:marTop w:val="0"/>
      <w:marBottom w:val="0"/>
      <w:divBdr>
        <w:top w:val="none" w:sz="0" w:space="0" w:color="auto"/>
        <w:left w:val="none" w:sz="0" w:space="0" w:color="auto"/>
        <w:bottom w:val="none" w:sz="0" w:space="0" w:color="auto"/>
        <w:right w:val="none" w:sz="0" w:space="0" w:color="auto"/>
      </w:divBdr>
    </w:div>
    <w:div w:id="1460033441">
      <w:bodyDiv w:val="1"/>
      <w:marLeft w:val="0"/>
      <w:marRight w:val="0"/>
      <w:marTop w:val="0"/>
      <w:marBottom w:val="0"/>
      <w:divBdr>
        <w:top w:val="none" w:sz="0" w:space="0" w:color="auto"/>
        <w:left w:val="none" w:sz="0" w:space="0" w:color="auto"/>
        <w:bottom w:val="none" w:sz="0" w:space="0" w:color="auto"/>
        <w:right w:val="none" w:sz="0" w:space="0" w:color="auto"/>
      </w:divBdr>
    </w:div>
    <w:div w:id="1481264178">
      <w:bodyDiv w:val="1"/>
      <w:marLeft w:val="0"/>
      <w:marRight w:val="0"/>
      <w:marTop w:val="0"/>
      <w:marBottom w:val="0"/>
      <w:divBdr>
        <w:top w:val="none" w:sz="0" w:space="0" w:color="auto"/>
        <w:left w:val="none" w:sz="0" w:space="0" w:color="auto"/>
        <w:bottom w:val="none" w:sz="0" w:space="0" w:color="auto"/>
        <w:right w:val="none" w:sz="0" w:space="0" w:color="auto"/>
      </w:divBdr>
    </w:div>
    <w:div w:id="1548563571">
      <w:bodyDiv w:val="1"/>
      <w:marLeft w:val="0"/>
      <w:marRight w:val="0"/>
      <w:marTop w:val="0"/>
      <w:marBottom w:val="0"/>
      <w:divBdr>
        <w:top w:val="none" w:sz="0" w:space="0" w:color="auto"/>
        <w:left w:val="none" w:sz="0" w:space="0" w:color="auto"/>
        <w:bottom w:val="none" w:sz="0" w:space="0" w:color="auto"/>
        <w:right w:val="none" w:sz="0" w:space="0" w:color="auto"/>
      </w:divBdr>
    </w:div>
    <w:div w:id="1551309364">
      <w:bodyDiv w:val="1"/>
      <w:marLeft w:val="0"/>
      <w:marRight w:val="0"/>
      <w:marTop w:val="0"/>
      <w:marBottom w:val="0"/>
      <w:divBdr>
        <w:top w:val="none" w:sz="0" w:space="0" w:color="auto"/>
        <w:left w:val="none" w:sz="0" w:space="0" w:color="auto"/>
        <w:bottom w:val="none" w:sz="0" w:space="0" w:color="auto"/>
        <w:right w:val="none" w:sz="0" w:space="0" w:color="auto"/>
      </w:divBdr>
    </w:div>
    <w:div w:id="1559199365">
      <w:bodyDiv w:val="1"/>
      <w:marLeft w:val="0"/>
      <w:marRight w:val="0"/>
      <w:marTop w:val="0"/>
      <w:marBottom w:val="0"/>
      <w:divBdr>
        <w:top w:val="none" w:sz="0" w:space="0" w:color="auto"/>
        <w:left w:val="none" w:sz="0" w:space="0" w:color="auto"/>
        <w:bottom w:val="none" w:sz="0" w:space="0" w:color="auto"/>
        <w:right w:val="none" w:sz="0" w:space="0" w:color="auto"/>
      </w:divBdr>
    </w:div>
    <w:div w:id="1559898450">
      <w:bodyDiv w:val="1"/>
      <w:marLeft w:val="0"/>
      <w:marRight w:val="0"/>
      <w:marTop w:val="0"/>
      <w:marBottom w:val="0"/>
      <w:divBdr>
        <w:top w:val="none" w:sz="0" w:space="0" w:color="auto"/>
        <w:left w:val="none" w:sz="0" w:space="0" w:color="auto"/>
        <w:bottom w:val="none" w:sz="0" w:space="0" w:color="auto"/>
        <w:right w:val="none" w:sz="0" w:space="0" w:color="auto"/>
      </w:divBdr>
    </w:div>
    <w:div w:id="1563443793">
      <w:bodyDiv w:val="1"/>
      <w:marLeft w:val="0"/>
      <w:marRight w:val="0"/>
      <w:marTop w:val="0"/>
      <w:marBottom w:val="0"/>
      <w:divBdr>
        <w:top w:val="none" w:sz="0" w:space="0" w:color="auto"/>
        <w:left w:val="none" w:sz="0" w:space="0" w:color="auto"/>
        <w:bottom w:val="none" w:sz="0" w:space="0" w:color="auto"/>
        <w:right w:val="none" w:sz="0" w:space="0" w:color="auto"/>
      </w:divBdr>
    </w:div>
    <w:div w:id="1567915896">
      <w:bodyDiv w:val="1"/>
      <w:marLeft w:val="0"/>
      <w:marRight w:val="0"/>
      <w:marTop w:val="0"/>
      <w:marBottom w:val="0"/>
      <w:divBdr>
        <w:top w:val="none" w:sz="0" w:space="0" w:color="auto"/>
        <w:left w:val="none" w:sz="0" w:space="0" w:color="auto"/>
        <w:bottom w:val="none" w:sz="0" w:space="0" w:color="auto"/>
        <w:right w:val="none" w:sz="0" w:space="0" w:color="auto"/>
      </w:divBdr>
    </w:div>
    <w:div w:id="1619556867">
      <w:bodyDiv w:val="1"/>
      <w:marLeft w:val="0"/>
      <w:marRight w:val="0"/>
      <w:marTop w:val="0"/>
      <w:marBottom w:val="0"/>
      <w:divBdr>
        <w:top w:val="none" w:sz="0" w:space="0" w:color="auto"/>
        <w:left w:val="none" w:sz="0" w:space="0" w:color="auto"/>
        <w:bottom w:val="none" w:sz="0" w:space="0" w:color="auto"/>
        <w:right w:val="none" w:sz="0" w:space="0" w:color="auto"/>
      </w:divBdr>
    </w:div>
    <w:div w:id="1638298949">
      <w:bodyDiv w:val="1"/>
      <w:marLeft w:val="0"/>
      <w:marRight w:val="0"/>
      <w:marTop w:val="0"/>
      <w:marBottom w:val="0"/>
      <w:divBdr>
        <w:top w:val="none" w:sz="0" w:space="0" w:color="auto"/>
        <w:left w:val="none" w:sz="0" w:space="0" w:color="auto"/>
        <w:bottom w:val="none" w:sz="0" w:space="0" w:color="auto"/>
        <w:right w:val="none" w:sz="0" w:space="0" w:color="auto"/>
      </w:divBdr>
    </w:div>
    <w:div w:id="1660619239">
      <w:bodyDiv w:val="1"/>
      <w:marLeft w:val="0"/>
      <w:marRight w:val="0"/>
      <w:marTop w:val="0"/>
      <w:marBottom w:val="0"/>
      <w:divBdr>
        <w:top w:val="none" w:sz="0" w:space="0" w:color="auto"/>
        <w:left w:val="none" w:sz="0" w:space="0" w:color="auto"/>
        <w:bottom w:val="none" w:sz="0" w:space="0" w:color="auto"/>
        <w:right w:val="none" w:sz="0" w:space="0" w:color="auto"/>
      </w:divBdr>
    </w:div>
    <w:div w:id="1664747084">
      <w:bodyDiv w:val="1"/>
      <w:marLeft w:val="0"/>
      <w:marRight w:val="0"/>
      <w:marTop w:val="0"/>
      <w:marBottom w:val="0"/>
      <w:divBdr>
        <w:top w:val="none" w:sz="0" w:space="0" w:color="auto"/>
        <w:left w:val="none" w:sz="0" w:space="0" w:color="auto"/>
        <w:bottom w:val="none" w:sz="0" w:space="0" w:color="auto"/>
        <w:right w:val="none" w:sz="0" w:space="0" w:color="auto"/>
      </w:divBdr>
    </w:div>
    <w:div w:id="1667585287">
      <w:bodyDiv w:val="1"/>
      <w:marLeft w:val="0"/>
      <w:marRight w:val="0"/>
      <w:marTop w:val="0"/>
      <w:marBottom w:val="0"/>
      <w:divBdr>
        <w:top w:val="none" w:sz="0" w:space="0" w:color="auto"/>
        <w:left w:val="none" w:sz="0" w:space="0" w:color="auto"/>
        <w:bottom w:val="none" w:sz="0" w:space="0" w:color="auto"/>
        <w:right w:val="none" w:sz="0" w:space="0" w:color="auto"/>
      </w:divBdr>
    </w:div>
    <w:div w:id="1670061887">
      <w:bodyDiv w:val="1"/>
      <w:marLeft w:val="0"/>
      <w:marRight w:val="0"/>
      <w:marTop w:val="0"/>
      <w:marBottom w:val="0"/>
      <w:divBdr>
        <w:top w:val="none" w:sz="0" w:space="0" w:color="auto"/>
        <w:left w:val="none" w:sz="0" w:space="0" w:color="auto"/>
        <w:bottom w:val="none" w:sz="0" w:space="0" w:color="auto"/>
        <w:right w:val="none" w:sz="0" w:space="0" w:color="auto"/>
      </w:divBdr>
    </w:div>
    <w:div w:id="1726760988">
      <w:bodyDiv w:val="1"/>
      <w:marLeft w:val="0"/>
      <w:marRight w:val="0"/>
      <w:marTop w:val="0"/>
      <w:marBottom w:val="0"/>
      <w:divBdr>
        <w:top w:val="none" w:sz="0" w:space="0" w:color="auto"/>
        <w:left w:val="none" w:sz="0" w:space="0" w:color="auto"/>
        <w:bottom w:val="none" w:sz="0" w:space="0" w:color="auto"/>
        <w:right w:val="none" w:sz="0" w:space="0" w:color="auto"/>
      </w:divBdr>
    </w:div>
    <w:div w:id="1730493242">
      <w:bodyDiv w:val="1"/>
      <w:marLeft w:val="0"/>
      <w:marRight w:val="0"/>
      <w:marTop w:val="0"/>
      <w:marBottom w:val="0"/>
      <w:divBdr>
        <w:top w:val="none" w:sz="0" w:space="0" w:color="auto"/>
        <w:left w:val="none" w:sz="0" w:space="0" w:color="auto"/>
        <w:bottom w:val="none" w:sz="0" w:space="0" w:color="auto"/>
        <w:right w:val="none" w:sz="0" w:space="0" w:color="auto"/>
      </w:divBdr>
    </w:div>
    <w:div w:id="1737363855">
      <w:bodyDiv w:val="1"/>
      <w:marLeft w:val="0"/>
      <w:marRight w:val="0"/>
      <w:marTop w:val="0"/>
      <w:marBottom w:val="0"/>
      <w:divBdr>
        <w:top w:val="none" w:sz="0" w:space="0" w:color="auto"/>
        <w:left w:val="none" w:sz="0" w:space="0" w:color="auto"/>
        <w:bottom w:val="none" w:sz="0" w:space="0" w:color="auto"/>
        <w:right w:val="none" w:sz="0" w:space="0" w:color="auto"/>
      </w:divBdr>
    </w:div>
    <w:div w:id="1757702908">
      <w:bodyDiv w:val="1"/>
      <w:marLeft w:val="0"/>
      <w:marRight w:val="0"/>
      <w:marTop w:val="0"/>
      <w:marBottom w:val="0"/>
      <w:divBdr>
        <w:top w:val="none" w:sz="0" w:space="0" w:color="auto"/>
        <w:left w:val="none" w:sz="0" w:space="0" w:color="auto"/>
        <w:bottom w:val="none" w:sz="0" w:space="0" w:color="auto"/>
        <w:right w:val="none" w:sz="0" w:space="0" w:color="auto"/>
      </w:divBdr>
    </w:div>
    <w:div w:id="1772772850">
      <w:bodyDiv w:val="1"/>
      <w:marLeft w:val="0"/>
      <w:marRight w:val="0"/>
      <w:marTop w:val="0"/>
      <w:marBottom w:val="0"/>
      <w:divBdr>
        <w:top w:val="none" w:sz="0" w:space="0" w:color="auto"/>
        <w:left w:val="none" w:sz="0" w:space="0" w:color="auto"/>
        <w:bottom w:val="none" w:sz="0" w:space="0" w:color="auto"/>
        <w:right w:val="none" w:sz="0" w:space="0" w:color="auto"/>
      </w:divBdr>
    </w:div>
    <w:div w:id="1817187201">
      <w:bodyDiv w:val="1"/>
      <w:marLeft w:val="0"/>
      <w:marRight w:val="0"/>
      <w:marTop w:val="0"/>
      <w:marBottom w:val="0"/>
      <w:divBdr>
        <w:top w:val="none" w:sz="0" w:space="0" w:color="auto"/>
        <w:left w:val="none" w:sz="0" w:space="0" w:color="auto"/>
        <w:bottom w:val="none" w:sz="0" w:space="0" w:color="auto"/>
        <w:right w:val="none" w:sz="0" w:space="0" w:color="auto"/>
      </w:divBdr>
    </w:div>
    <w:div w:id="1822573818">
      <w:bodyDiv w:val="1"/>
      <w:marLeft w:val="0"/>
      <w:marRight w:val="0"/>
      <w:marTop w:val="0"/>
      <w:marBottom w:val="0"/>
      <w:divBdr>
        <w:top w:val="none" w:sz="0" w:space="0" w:color="auto"/>
        <w:left w:val="none" w:sz="0" w:space="0" w:color="auto"/>
        <w:bottom w:val="none" w:sz="0" w:space="0" w:color="auto"/>
        <w:right w:val="none" w:sz="0" w:space="0" w:color="auto"/>
      </w:divBdr>
    </w:div>
    <w:div w:id="1851530252">
      <w:bodyDiv w:val="1"/>
      <w:marLeft w:val="0"/>
      <w:marRight w:val="0"/>
      <w:marTop w:val="0"/>
      <w:marBottom w:val="0"/>
      <w:divBdr>
        <w:top w:val="none" w:sz="0" w:space="0" w:color="auto"/>
        <w:left w:val="none" w:sz="0" w:space="0" w:color="auto"/>
        <w:bottom w:val="none" w:sz="0" w:space="0" w:color="auto"/>
        <w:right w:val="none" w:sz="0" w:space="0" w:color="auto"/>
      </w:divBdr>
    </w:div>
    <w:div w:id="1893036662">
      <w:bodyDiv w:val="1"/>
      <w:marLeft w:val="0"/>
      <w:marRight w:val="0"/>
      <w:marTop w:val="0"/>
      <w:marBottom w:val="0"/>
      <w:divBdr>
        <w:top w:val="none" w:sz="0" w:space="0" w:color="auto"/>
        <w:left w:val="none" w:sz="0" w:space="0" w:color="auto"/>
        <w:bottom w:val="none" w:sz="0" w:space="0" w:color="auto"/>
        <w:right w:val="none" w:sz="0" w:space="0" w:color="auto"/>
      </w:divBdr>
    </w:div>
    <w:div w:id="1937790984">
      <w:bodyDiv w:val="1"/>
      <w:marLeft w:val="0"/>
      <w:marRight w:val="0"/>
      <w:marTop w:val="0"/>
      <w:marBottom w:val="0"/>
      <w:divBdr>
        <w:top w:val="none" w:sz="0" w:space="0" w:color="auto"/>
        <w:left w:val="none" w:sz="0" w:space="0" w:color="auto"/>
        <w:bottom w:val="none" w:sz="0" w:space="0" w:color="auto"/>
        <w:right w:val="none" w:sz="0" w:space="0" w:color="auto"/>
      </w:divBdr>
    </w:div>
    <w:div w:id="1956015819">
      <w:bodyDiv w:val="1"/>
      <w:marLeft w:val="0"/>
      <w:marRight w:val="0"/>
      <w:marTop w:val="0"/>
      <w:marBottom w:val="0"/>
      <w:divBdr>
        <w:top w:val="none" w:sz="0" w:space="0" w:color="auto"/>
        <w:left w:val="none" w:sz="0" w:space="0" w:color="auto"/>
        <w:bottom w:val="none" w:sz="0" w:space="0" w:color="auto"/>
        <w:right w:val="none" w:sz="0" w:space="0" w:color="auto"/>
      </w:divBdr>
    </w:div>
    <w:div w:id="1968461740">
      <w:bodyDiv w:val="1"/>
      <w:marLeft w:val="0"/>
      <w:marRight w:val="0"/>
      <w:marTop w:val="0"/>
      <w:marBottom w:val="0"/>
      <w:divBdr>
        <w:top w:val="none" w:sz="0" w:space="0" w:color="auto"/>
        <w:left w:val="none" w:sz="0" w:space="0" w:color="auto"/>
        <w:bottom w:val="none" w:sz="0" w:space="0" w:color="auto"/>
        <w:right w:val="none" w:sz="0" w:space="0" w:color="auto"/>
      </w:divBdr>
    </w:div>
    <w:div w:id="2063288100">
      <w:bodyDiv w:val="1"/>
      <w:marLeft w:val="0"/>
      <w:marRight w:val="0"/>
      <w:marTop w:val="0"/>
      <w:marBottom w:val="0"/>
      <w:divBdr>
        <w:top w:val="none" w:sz="0" w:space="0" w:color="auto"/>
        <w:left w:val="none" w:sz="0" w:space="0" w:color="auto"/>
        <w:bottom w:val="none" w:sz="0" w:space="0" w:color="auto"/>
        <w:right w:val="none" w:sz="0" w:space="0" w:color="auto"/>
      </w:divBdr>
    </w:div>
    <w:div w:id="2086032118">
      <w:bodyDiv w:val="1"/>
      <w:marLeft w:val="0"/>
      <w:marRight w:val="0"/>
      <w:marTop w:val="0"/>
      <w:marBottom w:val="0"/>
      <w:divBdr>
        <w:top w:val="none" w:sz="0" w:space="0" w:color="auto"/>
        <w:left w:val="none" w:sz="0" w:space="0" w:color="auto"/>
        <w:bottom w:val="none" w:sz="0" w:space="0" w:color="auto"/>
        <w:right w:val="none" w:sz="0" w:space="0" w:color="auto"/>
      </w:divBdr>
    </w:div>
    <w:div w:id="2110352154">
      <w:bodyDiv w:val="1"/>
      <w:marLeft w:val="0"/>
      <w:marRight w:val="0"/>
      <w:marTop w:val="0"/>
      <w:marBottom w:val="0"/>
      <w:divBdr>
        <w:top w:val="none" w:sz="0" w:space="0" w:color="auto"/>
        <w:left w:val="none" w:sz="0" w:space="0" w:color="auto"/>
        <w:bottom w:val="none" w:sz="0" w:space="0" w:color="auto"/>
        <w:right w:val="none" w:sz="0" w:space="0" w:color="auto"/>
      </w:divBdr>
    </w:div>
    <w:div w:id="213400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ommunication@presidence.p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2955</Words>
  <Characters>16256</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Katell KP. PERENNOU</dc:creator>
  <cp:lastModifiedBy>Thibault TM. MARAIS</cp:lastModifiedBy>
  <cp:revision>2</cp:revision>
  <cp:lastPrinted>2019-12-03T18:24:00Z</cp:lastPrinted>
  <dcterms:created xsi:type="dcterms:W3CDTF">2020-04-09T01:49:00Z</dcterms:created>
  <dcterms:modified xsi:type="dcterms:W3CDTF">2020-04-09T01:49:00Z</dcterms:modified>
</cp:coreProperties>
</file>