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47CE" w:rsidRPr="00C21220" w:rsidRDefault="00CE47CE" w:rsidP="00CE47CE">
      <w:pPr>
        <w:pStyle w:val="Sansinterligne"/>
        <w:rPr>
          <w:rFonts w:ascii="Cambria" w:hAnsi="Cambria"/>
          <w:lang w:eastAsia="fr-FR"/>
        </w:rPr>
      </w:pPr>
      <w:bookmarkStart w:id="0" w:name="_GoBack"/>
      <w:bookmarkEnd w:id="0"/>
      <w:r w:rsidRPr="00C21220">
        <w:rPr>
          <w:rFonts w:ascii="Cambria" w:hAnsi="Cambria"/>
          <w:noProof/>
          <w:lang w:eastAsia="fr-FR"/>
        </w:rPr>
        <w:drawing>
          <wp:anchor distT="0" distB="0" distL="114300" distR="114300" simplePos="0" relativeHeight="251659264" behindDoc="1" locked="0" layoutInCell="1" allowOverlap="1" wp14:anchorId="102A9F07" wp14:editId="4E239021">
            <wp:simplePos x="0" y="0"/>
            <wp:positionH relativeFrom="page">
              <wp:align>right</wp:align>
            </wp:positionH>
            <wp:positionV relativeFrom="paragraph">
              <wp:posOffset>-941070</wp:posOffset>
            </wp:positionV>
            <wp:extent cx="7548880" cy="2686050"/>
            <wp:effectExtent l="0" t="0" r="0" b="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inal_sans_txt.jpg"/>
                    <pic:cNvPicPr/>
                  </pic:nvPicPr>
                  <pic:blipFill>
                    <a:blip r:embed="rId7">
                      <a:extLst>
                        <a:ext uri="{28A0092B-C50C-407E-A947-70E740481C1C}">
                          <a14:useLocalDpi xmlns:a14="http://schemas.microsoft.com/office/drawing/2010/main" val="0"/>
                        </a:ext>
                      </a:extLst>
                    </a:blip>
                    <a:stretch>
                      <a:fillRect/>
                    </a:stretch>
                  </pic:blipFill>
                  <pic:spPr>
                    <a:xfrm>
                      <a:off x="0" y="0"/>
                      <a:ext cx="7548880" cy="2686050"/>
                    </a:xfrm>
                    <a:prstGeom prst="rect">
                      <a:avLst/>
                    </a:prstGeom>
                  </pic:spPr>
                </pic:pic>
              </a:graphicData>
            </a:graphic>
          </wp:anchor>
        </w:drawing>
      </w:r>
      <w:r w:rsidRPr="00C21220">
        <w:rPr>
          <w:rFonts w:ascii="Cambria" w:hAnsi="Cambria"/>
          <w:noProof/>
          <w:lang w:eastAsia="fr-FR"/>
        </w:rPr>
        <mc:AlternateContent>
          <mc:Choice Requires="wps">
            <w:drawing>
              <wp:anchor distT="45720" distB="45720" distL="114300" distR="114300" simplePos="0" relativeHeight="251660288" behindDoc="0" locked="0" layoutInCell="1" allowOverlap="1" wp14:anchorId="455D31DB" wp14:editId="234E7FAB">
                <wp:simplePos x="0" y="0"/>
                <wp:positionH relativeFrom="margin">
                  <wp:posOffset>2112645</wp:posOffset>
                </wp:positionH>
                <wp:positionV relativeFrom="paragraph">
                  <wp:posOffset>-633095</wp:posOffset>
                </wp:positionV>
                <wp:extent cx="3648075" cy="1104900"/>
                <wp:effectExtent l="0" t="0" r="0" b="0"/>
                <wp:wrapNone/>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8075" cy="1104900"/>
                        </a:xfrm>
                        <a:prstGeom prst="rect">
                          <a:avLst/>
                        </a:prstGeom>
                        <a:noFill/>
                        <a:ln w="9525">
                          <a:noFill/>
                          <a:miter lim="800000"/>
                          <a:headEnd/>
                          <a:tailEnd/>
                        </a:ln>
                      </wps:spPr>
                      <wps:txbx>
                        <w:txbxContent>
                          <w:p w:rsidR="00825657" w:rsidRPr="00385367" w:rsidRDefault="00825657" w:rsidP="00CE47CE">
                            <w:pPr>
                              <w:rPr>
                                <w:rFonts w:ascii="Edwardian Script ITC" w:hAnsi="Edwardian Script ITC"/>
                                <w:sz w:val="64"/>
                                <w:szCs w:val="64"/>
                              </w:rPr>
                            </w:pPr>
                            <w:r w:rsidRPr="00385367">
                              <w:rPr>
                                <w:rFonts w:ascii="Edwardian Script ITC" w:hAnsi="Edwardian Script ITC"/>
                                <w:sz w:val="64"/>
                                <w:szCs w:val="64"/>
                              </w:rPr>
                              <w:t>La Présidence</w:t>
                            </w:r>
                          </w:p>
                          <w:p w:rsidR="00825657" w:rsidRPr="00385367" w:rsidRDefault="00825657" w:rsidP="00CE47CE">
                            <w:pPr>
                              <w:rPr>
                                <w:rFonts w:ascii="Edwardian Script ITC" w:hAnsi="Edwardian Script ITC"/>
                                <w:sz w:val="64"/>
                                <w:szCs w:val="64"/>
                              </w:rPr>
                            </w:pPr>
                            <w:r w:rsidRPr="00385367">
                              <w:rPr>
                                <w:rFonts w:ascii="Edwardian Script ITC" w:hAnsi="Edwardian Script ITC"/>
                                <w:sz w:val="64"/>
                                <w:szCs w:val="64"/>
                              </w:rPr>
                              <w:t>De la Polynésie française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55D31DB" id="_x0000_t202" coordsize="21600,21600" o:spt="202" path="m,l,21600r21600,l21600,xe">
                <v:stroke joinstyle="miter"/>
                <v:path gradientshapeok="t" o:connecttype="rect"/>
              </v:shapetype>
              <v:shape id="Zone de texte 2" o:spid="_x0000_s1026" type="#_x0000_t202" style="position:absolute;margin-left:166.35pt;margin-top:-49.85pt;width:287.25pt;height:87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" filled="f" stroked="f">
                <v:textbox>
                  <w:txbxContent>
                    <w:p w:rsidR="00825657" w:rsidRPr="00385367" w:rsidRDefault="00825657" w:rsidP="00CE47CE">
                      <w:pPr>
                        <w:rPr>
                          <w:rFonts w:ascii="Edwardian Script ITC" w:hAnsi="Edwardian Script ITC"/>
                          <w:sz w:val="64"/>
                          <w:szCs w:val="64"/>
                        </w:rPr>
                      </w:pPr>
                      <w:r w:rsidRPr="00385367">
                        <w:rPr>
                          <w:rFonts w:ascii="Edwardian Script ITC" w:hAnsi="Edwardian Script ITC"/>
                          <w:sz w:val="64"/>
                          <w:szCs w:val="64"/>
                        </w:rPr>
                        <w:t>La Présidence</w:t>
                      </w:r>
                    </w:p>
                    <w:p w:rsidR="00825657" w:rsidRPr="00385367" w:rsidRDefault="00825657" w:rsidP="00CE47CE">
                      <w:pPr>
                        <w:rPr>
                          <w:rFonts w:ascii="Edwardian Script ITC" w:hAnsi="Edwardian Script ITC"/>
                          <w:sz w:val="64"/>
                          <w:szCs w:val="64"/>
                        </w:rPr>
                      </w:pPr>
                      <w:r w:rsidRPr="00385367">
                        <w:rPr>
                          <w:rFonts w:ascii="Edwardian Script ITC" w:hAnsi="Edwardian Script ITC"/>
                          <w:sz w:val="64"/>
                          <w:szCs w:val="64"/>
                        </w:rPr>
                        <w:t>De la Polynésie française</w:t>
                      </w:r>
                    </w:p>
                  </w:txbxContent>
                </v:textbox>
                <w10:wrap anchorx="margin"/>
              </v:shape>
            </w:pict>
          </mc:Fallback>
        </mc:AlternateContent>
      </w:r>
      <w:r>
        <w:rPr>
          <w:rFonts w:ascii="Cambria" w:hAnsi="Cambria"/>
          <w:lang w:eastAsia="fr-FR"/>
        </w:rPr>
        <w:tab/>
      </w:r>
      <w:r w:rsidRPr="00C21220">
        <w:rPr>
          <w:rFonts w:ascii="Cambria" w:hAnsi="Cambria"/>
          <w:lang w:eastAsia="fr-FR"/>
        </w:rPr>
        <w:t xml:space="preserve">      </w:t>
      </w:r>
    </w:p>
    <w:p w:rsidR="00CE47CE" w:rsidRPr="00C21220" w:rsidRDefault="00CE47CE" w:rsidP="00CE47CE">
      <w:pPr>
        <w:jc w:val="center"/>
        <w:rPr>
          <w:rFonts w:ascii="Cambria" w:hAnsi="Cambria"/>
          <w:color w:val="993366"/>
        </w:rPr>
      </w:pPr>
    </w:p>
    <w:p w:rsidR="00CE47CE" w:rsidRPr="00C21220" w:rsidRDefault="00CE47CE" w:rsidP="00CE47CE">
      <w:pPr>
        <w:rPr>
          <w:rFonts w:ascii="Cambria" w:hAnsi="Cambria"/>
          <w:color w:val="993366"/>
        </w:rPr>
      </w:pPr>
    </w:p>
    <w:p w:rsidR="00CE47CE" w:rsidRPr="00C21220" w:rsidRDefault="00CE47CE" w:rsidP="00CE47CE">
      <w:pPr>
        <w:rPr>
          <w:rFonts w:ascii="Cambria" w:hAnsi="Cambria"/>
          <w:color w:val="993366"/>
        </w:rPr>
      </w:pPr>
    </w:p>
    <w:p w:rsidR="00CE47CE" w:rsidRPr="00C21220" w:rsidRDefault="00CE47CE" w:rsidP="00CE47CE">
      <w:pPr>
        <w:rPr>
          <w:rFonts w:ascii="Cambria" w:hAnsi="Cambria"/>
          <w:color w:val="993366"/>
        </w:rPr>
      </w:pPr>
    </w:p>
    <w:p w:rsidR="00CE47CE" w:rsidRPr="00C21220" w:rsidRDefault="00CE47CE" w:rsidP="00CE47CE">
      <w:pPr>
        <w:tabs>
          <w:tab w:val="center" w:pos="4533"/>
          <w:tab w:val="left" w:pos="6544"/>
        </w:tabs>
        <w:rPr>
          <w:rFonts w:ascii="Cambria" w:hAnsi="Cambria"/>
          <w:u w:val="single"/>
        </w:rPr>
      </w:pPr>
      <w:r w:rsidRPr="00C21220">
        <w:rPr>
          <w:rFonts w:ascii="Cambria" w:hAnsi="Cambria" w:cs="Arial"/>
          <w:i/>
          <w:noProof/>
          <w:lang w:eastAsia="fr-FR"/>
        </w:rPr>
        <mc:AlternateContent>
          <mc:Choice Requires="wps">
            <w:drawing>
              <wp:anchor distT="4294967295" distB="4294967295" distL="114300" distR="114300" simplePos="0" relativeHeight="251662336" behindDoc="0" locked="0" layoutInCell="1" allowOverlap="1" wp14:anchorId="1584862F" wp14:editId="181C825B">
                <wp:simplePos x="0" y="0"/>
                <wp:positionH relativeFrom="column">
                  <wp:posOffset>1943100</wp:posOffset>
                </wp:positionH>
                <wp:positionV relativeFrom="paragraph">
                  <wp:posOffset>57149</wp:posOffset>
                </wp:positionV>
                <wp:extent cx="1828800" cy="0"/>
                <wp:effectExtent l="0" t="0" r="19050" b="19050"/>
                <wp:wrapNone/>
                <wp:docPr id="3" name="Connecteur droit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28800" cy="0"/>
                        </a:xfrm>
                        <a:prstGeom prst="line">
                          <a:avLst/>
                        </a:prstGeom>
                        <a:ln w="19050" cmpd="sng">
                          <a:solidFill>
                            <a:schemeClr val="tx1"/>
                          </a:solidFill>
                        </a:ln>
                      </wps:spPr>
                      <wps:style>
                        <a:lnRef idx="3">
                          <a:schemeClr val="accent2"/>
                        </a:lnRef>
                        <a:fillRef idx="0">
                          <a:schemeClr val="accent2"/>
                        </a:fillRef>
                        <a:effectRef idx="2">
                          <a:schemeClr val="accent2"/>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4062C6E9" id="Connecteur droit 3"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3pt,4.5pt" to="297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" strokecolor="black [3213]" strokeweight="1.5pt">
                <v:shadow on="t" color="black" opacity="22937f" origin=",.5" offset="0,.63889mm"/>
                <o:lock v:ext="edit" shapetype="f"/>
              </v:line>
            </w:pict>
          </mc:Fallback>
        </mc:AlternateContent>
      </w:r>
    </w:p>
    <w:p w:rsidR="00CE47CE" w:rsidRPr="00C21220" w:rsidRDefault="00CE47CE" w:rsidP="00CE47CE">
      <w:pPr>
        <w:tabs>
          <w:tab w:val="left" w:pos="3240"/>
        </w:tabs>
        <w:jc w:val="center"/>
        <w:rPr>
          <w:rFonts w:ascii="Cambria" w:hAnsi="Cambria" w:cs="Arial"/>
          <w:b/>
        </w:rPr>
      </w:pPr>
      <w:r w:rsidRPr="00C21220">
        <w:rPr>
          <w:rFonts w:ascii="Cambria" w:hAnsi="Cambria" w:cs="Arial"/>
          <w:b/>
        </w:rPr>
        <w:t>BUREAU DE LA COMMUNICATION</w:t>
      </w:r>
    </w:p>
    <w:p w:rsidR="00CE47CE" w:rsidRPr="00C21220" w:rsidRDefault="005729FB" w:rsidP="00CE47CE">
      <w:pPr>
        <w:tabs>
          <w:tab w:val="left" w:pos="3240"/>
        </w:tabs>
        <w:jc w:val="center"/>
        <w:rPr>
          <w:rFonts w:ascii="Cambria" w:hAnsi="Cambria" w:cs="Arial"/>
          <w:b/>
          <w:i/>
        </w:rPr>
      </w:pPr>
      <w:r>
        <w:rPr>
          <w:rFonts w:ascii="Cambria" w:hAnsi="Cambria" w:cs="Arial"/>
          <w:b/>
          <w:i/>
        </w:rPr>
        <w:t>Mercredi 1</w:t>
      </w:r>
      <w:r w:rsidRPr="005729FB">
        <w:rPr>
          <w:rFonts w:ascii="Cambria" w:hAnsi="Cambria" w:cs="Arial"/>
          <w:b/>
          <w:i/>
          <w:vertAlign w:val="superscript"/>
        </w:rPr>
        <w:t>er</w:t>
      </w:r>
      <w:r>
        <w:rPr>
          <w:rFonts w:ascii="Cambria" w:hAnsi="Cambria" w:cs="Arial"/>
          <w:b/>
          <w:i/>
        </w:rPr>
        <w:t xml:space="preserve"> avril</w:t>
      </w:r>
      <w:r w:rsidR="00015FF2">
        <w:rPr>
          <w:rFonts w:ascii="Cambria" w:hAnsi="Cambria" w:cs="Arial"/>
          <w:b/>
          <w:i/>
        </w:rPr>
        <w:t xml:space="preserve"> </w:t>
      </w:r>
      <w:r w:rsidR="00087CFE">
        <w:rPr>
          <w:rFonts w:ascii="Cambria" w:hAnsi="Cambria" w:cs="Arial"/>
          <w:b/>
          <w:i/>
        </w:rPr>
        <w:t>2020</w:t>
      </w:r>
    </w:p>
    <w:p w:rsidR="00CE47CE" w:rsidRPr="00C21220" w:rsidRDefault="00CE47CE" w:rsidP="00CE47CE">
      <w:pPr>
        <w:tabs>
          <w:tab w:val="left" w:pos="3240"/>
        </w:tabs>
        <w:jc w:val="center"/>
        <w:rPr>
          <w:rFonts w:ascii="Cambria" w:hAnsi="Cambria"/>
        </w:rPr>
      </w:pPr>
      <w:r w:rsidRPr="00C21220">
        <w:rPr>
          <w:rFonts w:ascii="Cambria" w:hAnsi="Cambria" w:cs="Arial"/>
          <w:i/>
          <w:noProof/>
          <w:lang w:eastAsia="fr-FR"/>
        </w:rPr>
        <mc:AlternateContent>
          <mc:Choice Requires="wps">
            <w:drawing>
              <wp:anchor distT="4294967295" distB="4294967295" distL="114300" distR="114300" simplePos="0" relativeHeight="251661312" behindDoc="0" locked="0" layoutInCell="1" allowOverlap="1" wp14:anchorId="18C1A943" wp14:editId="58873EC3">
                <wp:simplePos x="0" y="0"/>
                <wp:positionH relativeFrom="column">
                  <wp:posOffset>1943100</wp:posOffset>
                </wp:positionH>
                <wp:positionV relativeFrom="paragraph">
                  <wp:posOffset>82549</wp:posOffset>
                </wp:positionV>
                <wp:extent cx="1828800" cy="0"/>
                <wp:effectExtent l="0" t="0" r="19050" b="19050"/>
                <wp:wrapNone/>
                <wp:docPr id="1" name="Connecteur droit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28800" cy="0"/>
                        </a:xfrm>
                        <a:prstGeom prst="line">
                          <a:avLst/>
                        </a:prstGeom>
                        <a:ln w="19050" cmpd="sng">
                          <a:solidFill>
                            <a:srgbClr val="000000"/>
                          </a:solidFill>
                        </a:ln>
                      </wps:spPr>
                      <wps:style>
                        <a:lnRef idx="3">
                          <a:schemeClr val="accent2"/>
                        </a:lnRef>
                        <a:fillRef idx="0">
                          <a:schemeClr val="accent2"/>
                        </a:fillRef>
                        <a:effectRef idx="2">
                          <a:schemeClr val="accent2"/>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66954D17" id="Connecteur droit 1"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3pt,6.5pt" to="297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" strokeweight="1.5pt">
                <v:shadow on="t" color="black" opacity="22937f" origin=",.5" offset="0,.63889mm"/>
                <o:lock v:ext="edit" shapetype="f"/>
              </v:line>
            </w:pict>
          </mc:Fallback>
        </mc:AlternateContent>
      </w:r>
    </w:p>
    <w:p w:rsidR="00CE47CE" w:rsidRPr="00C21220" w:rsidRDefault="00CE47CE" w:rsidP="00CE47CE">
      <w:pPr>
        <w:tabs>
          <w:tab w:val="left" w:pos="3240"/>
        </w:tabs>
        <w:rPr>
          <w:rFonts w:ascii="Cambria" w:hAnsi="Cambria" w:cs="Arial"/>
          <w:b/>
          <w:i/>
        </w:rPr>
      </w:pPr>
    </w:p>
    <w:p w:rsidR="00CE47CE" w:rsidRPr="00DC0EA9" w:rsidRDefault="00CE47CE" w:rsidP="00CE47CE">
      <w:pPr>
        <w:pBdr>
          <w:top w:val="single" w:sz="4" w:space="0" w:color="auto"/>
          <w:left w:val="single" w:sz="4" w:space="4" w:color="auto"/>
          <w:bottom w:val="single" w:sz="4" w:space="1" w:color="auto"/>
          <w:right w:val="single" w:sz="4" w:space="4" w:color="auto"/>
        </w:pBdr>
        <w:tabs>
          <w:tab w:val="center" w:pos="4536"/>
          <w:tab w:val="left" w:pos="7440"/>
        </w:tabs>
        <w:jc w:val="both"/>
        <w:rPr>
          <w:rFonts w:ascii="Cambria" w:hAnsi="Cambria"/>
          <w:b/>
        </w:rPr>
      </w:pPr>
      <w:r w:rsidRPr="00C21220">
        <w:rPr>
          <w:rFonts w:ascii="Cambria" w:hAnsi="Cambria"/>
          <w:b/>
        </w:rPr>
        <w:tab/>
        <w:t xml:space="preserve">Compte rendu du Conseil des ministres </w:t>
      </w:r>
    </w:p>
    <w:p w:rsidR="00141919" w:rsidRDefault="00141919" w:rsidP="00141919">
      <w:pPr>
        <w:pStyle w:val="-LettreTexteGEDA"/>
        <w:spacing w:before="0"/>
        <w:ind w:firstLine="0"/>
        <w:rPr>
          <w:rFonts w:asciiTheme="majorHAnsi" w:hAnsiTheme="majorHAnsi"/>
          <w:b/>
        </w:rPr>
      </w:pPr>
    </w:p>
    <w:p w:rsidR="002445B5" w:rsidRDefault="002445B5" w:rsidP="002445B5">
      <w:pPr>
        <w:pStyle w:val="-LettreTexteGEDA"/>
        <w:spacing w:before="0"/>
        <w:ind w:firstLine="0"/>
        <w:rPr>
          <w:rFonts w:ascii="Cambria" w:hAnsi="Cambria"/>
          <w:b/>
          <w:bCs/>
        </w:rPr>
      </w:pPr>
    </w:p>
    <w:p w:rsidR="002445B5" w:rsidRDefault="002445B5" w:rsidP="002445B5">
      <w:pPr>
        <w:pStyle w:val="-LettreTexteGEDA"/>
        <w:spacing w:before="0"/>
        <w:ind w:firstLine="0"/>
        <w:rPr>
          <w:rFonts w:ascii="Cambria" w:hAnsi="Cambria"/>
          <w:b/>
          <w:bCs/>
          <w:szCs w:val="24"/>
        </w:rPr>
      </w:pPr>
      <w:r>
        <w:rPr>
          <w:rFonts w:ascii="Cambria" w:hAnsi="Cambria"/>
          <w:b/>
          <w:bCs/>
        </w:rPr>
        <w:t>Le Pays facilite l’importation de matériel médical destiné à la lutte contre le Covid-19</w:t>
      </w:r>
    </w:p>
    <w:p w:rsidR="002445B5" w:rsidRDefault="002445B5" w:rsidP="002445B5">
      <w:pPr>
        <w:pStyle w:val="-LettreTexteGEDA"/>
        <w:spacing w:before="0"/>
        <w:ind w:firstLine="0"/>
        <w:jc w:val="center"/>
        <w:rPr>
          <w:rFonts w:ascii="Cambria" w:hAnsi="Cambria"/>
        </w:rPr>
      </w:pPr>
    </w:p>
    <w:p w:rsidR="002445B5" w:rsidRDefault="002445B5" w:rsidP="002445B5">
      <w:pPr>
        <w:pStyle w:val="-LettreTexteGEDA"/>
        <w:spacing w:before="240"/>
        <w:ind w:firstLine="0"/>
        <w:rPr>
          <w:rFonts w:ascii="Cambria" w:hAnsi="Cambria"/>
          <w:lang w:eastAsia="en-US"/>
        </w:rPr>
      </w:pPr>
      <w:r>
        <w:rPr>
          <w:rFonts w:ascii="Cambria" w:hAnsi="Cambria"/>
          <w:lang w:eastAsia="en-US"/>
        </w:rPr>
        <w:t>Afin de permettre à l’Etat, au Pays et aux communes de lutter contre le virus qui frappe actuellement notre territoire, le Vice-président a proposé au Conseil des ministres que le matériel médical importé dans le cadre de cette crise sanitaire puisse bénéficier d’une franchise à l’importation.</w:t>
      </w:r>
    </w:p>
    <w:p w:rsidR="002445B5" w:rsidRDefault="002445B5" w:rsidP="002445B5">
      <w:pPr>
        <w:pStyle w:val="-LettreTexteGEDA"/>
        <w:spacing w:before="240"/>
        <w:ind w:firstLine="0"/>
        <w:rPr>
          <w:rFonts w:ascii="Cambria" w:hAnsi="Cambria"/>
          <w:lang w:eastAsia="en-US"/>
        </w:rPr>
      </w:pPr>
      <w:r>
        <w:rPr>
          <w:rFonts w:ascii="Cambria" w:hAnsi="Cambria"/>
          <w:lang w:eastAsia="en-US"/>
        </w:rPr>
        <w:t>Ainsi, les organismes d’Etat, du Pays, les communes, les associations reconnues d’intérêt général et les organismes agréés de sécurité civile pourront bénéficier de cette franchise lors de l’importation de différents matériels médicaux, dont la liste a été dressée par la Direction de la Santé.</w:t>
      </w:r>
    </w:p>
    <w:p w:rsidR="002445B5" w:rsidRDefault="002445B5" w:rsidP="002445B5">
      <w:pPr>
        <w:pStyle w:val="-LettreTexteGEDA"/>
        <w:spacing w:before="240"/>
        <w:ind w:firstLine="0"/>
        <w:rPr>
          <w:rFonts w:ascii="Cambria" w:hAnsi="Cambria"/>
          <w:lang w:eastAsia="en-US"/>
        </w:rPr>
      </w:pPr>
      <w:r>
        <w:rPr>
          <w:rFonts w:ascii="Cambria" w:hAnsi="Cambria"/>
          <w:lang w:eastAsia="en-US"/>
        </w:rPr>
        <w:t>Cette liste comprend notamment différents vêtements de protection sanitaire, les gels hydroalcooliques, les appareils respiratoires ou encore les kits de tests permettant le dépistage du virus.</w:t>
      </w:r>
    </w:p>
    <w:p w:rsidR="0032002F" w:rsidRPr="002445B5" w:rsidRDefault="0032002F" w:rsidP="00015FF2">
      <w:pPr>
        <w:pStyle w:val="-LettreTexteGEDA"/>
        <w:ind w:firstLine="0"/>
        <w:rPr>
          <w:rFonts w:ascii="Cambria" w:hAnsi="Cambria"/>
          <w:noProof w:val="0"/>
          <w:szCs w:val="24"/>
          <w:lang w:eastAsia="es-ES"/>
        </w:rPr>
      </w:pPr>
    </w:p>
    <w:p w:rsidR="002445B5" w:rsidRPr="002445B5" w:rsidRDefault="002445B5" w:rsidP="002445B5">
      <w:pPr>
        <w:pStyle w:val="-LettreObjetGEDA"/>
        <w:ind w:left="0" w:firstLine="0"/>
        <w:rPr>
          <w:rFonts w:ascii="Cambria" w:hAnsi="Cambria"/>
          <w:b/>
          <w:bCs/>
          <w:sz w:val="20"/>
        </w:rPr>
      </w:pPr>
      <w:r w:rsidRPr="002445B5">
        <w:rPr>
          <w:rFonts w:ascii="Cambria" w:hAnsi="Cambria"/>
          <w:b/>
          <w:bCs/>
        </w:rPr>
        <w:t>Rectification du plan général d’aménagement (PGA) de la commune de Punaauia</w:t>
      </w:r>
    </w:p>
    <w:p w:rsidR="002445B5" w:rsidRPr="002445B5" w:rsidRDefault="002445B5" w:rsidP="002445B5">
      <w:pPr>
        <w:pStyle w:val="-LettreTexteGEDA"/>
        <w:ind w:firstLine="0"/>
        <w:rPr>
          <w:rFonts w:ascii="Cambria" w:hAnsi="Cambria"/>
          <w:lang w:eastAsia="en-US"/>
        </w:rPr>
      </w:pPr>
    </w:p>
    <w:p w:rsidR="002445B5" w:rsidRPr="002445B5" w:rsidRDefault="002445B5" w:rsidP="002445B5">
      <w:pPr>
        <w:pStyle w:val="-LettreTexteGEDA"/>
        <w:spacing w:before="0"/>
        <w:ind w:firstLine="0"/>
        <w:rPr>
          <w:rFonts w:ascii="Cambria" w:hAnsi="Cambria"/>
        </w:rPr>
      </w:pPr>
      <w:r w:rsidRPr="002445B5">
        <w:rPr>
          <w:rFonts w:ascii="Cambria" w:hAnsi="Cambria"/>
        </w:rPr>
        <w:t>Le plan général d’aménagement (PGA) révisé de la commune de Punaauia a été rendu exécutoire en mars 2017. Une première rectification a été opérée en janvier 2019 et concernait des modifications des parties du rapport de présentation et du règlement relatives au périmètre du droit de préemption du Pays.</w:t>
      </w:r>
    </w:p>
    <w:p w:rsidR="002445B5" w:rsidRPr="002445B5" w:rsidRDefault="002445B5" w:rsidP="002445B5">
      <w:pPr>
        <w:pStyle w:val="-LettreTexteGEDA"/>
        <w:spacing w:before="0" w:after="120"/>
        <w:ind w:firstLine="0"/>
        <w:rPr>
          <w:rFonts w:ascii="Cambria" w:hAnsi="Cambria"/>
        </w:rPr>
      </w:pPr>
    </w:p>
    <w:p w:rsidR="002445B5" w:rsidRPr="002445B5" w:rsidRDefault="002445B5" w:rsidP="002445B5">
      <w:pPr>
        <w:pStyle w:val="-LettreTexteGEDA"/>
        <w:spacing w:before="0" w:after="120"/>
        <w:ind w:firstLine="0"/>
        <w:rPr>
          <w:rFonts w:ascii="Cambria" w:hAnsi="Cambria"/>
        </w:rPr>
      </w:pPr>
      <w:r w:rsidRPr="002445B5">
        <w:rPr>
          <w:rFonts w:ascii="Cambria" w:hAnsi="Cambria"/>
        </w:rPr>
        <w:t xml:space="preserve">Entre 2018 et 2019, le conseil municipal a été sollicité pour de nouvelles rectifications relatives au retrait ou à la réduction d’emprises réservées, à savoir : </w:t>
      </w:r>
    </w:p>
    <w:p w:rsidR="002445B5" w:rsidRPr="002445B5" w:rsidRDefault="002445B5" w:rsidP="002445B5">
      <w:pPr>
        <w:pStyle w:val="-LettreTexteGEDA"/>
        <w:numPr>
          <w:ilvl w:val="0"/>
          <w:numId w:val="35"/>
        </w:numPr>
        <w:adjustRightInd/>
        <w:spacing w:before="0" w:after="120"/>
        <w:ind w:left="1208" w:hanging="357"/>
        <w:textAlignment w:val="auto"/>
        <w:rPr>
          <w:rFonts w:ascii="Cambria" w:hAnsi="Cambria"/>
        </w:rPr>
      </w:pPr>
      <w:r w:rsidRPr="002445B5">
        <w:rPr>
          <w:rFonts w:ascii="Cambria" w:hAnsi="Cambria"/>
        </w:rPr>
        <w:t>Le retrait de l’emplacement réservé relatif à la création d’une voirie partagée de 6 mètres d’emprise dans le quartier Pugibet ;</w:t>
      </w:r>
    </w:p>
    <w:p w:rsidR="002445B5" w:rsidRPr="002445B5" w:rsidRDefault="002445B5" w:rsidP="002445B5">
      <w:pPr>
        <w:pStyle w:val="-LettreTexteGEDA"/>
        <w:numPr>
          <w:ilvl w:val="0"/>
          <w:numId w:val="35"/>
        </w:numPr>
        <w:adjustRightInd/>
        <w:spacing w:before="0" w:after="120"/>
        <w:ind w:left="1208" w:hanging="357"/>
        <w:textAlignment w:val="auto"/>
        <w:rPr>
          <w:rFonts w:ascii="Cambria" w:hAnsi="Cambria"/>
        </w:rPr>
      </w:pPr>
      <w:r w:rsidRPr="002445B5">
        <w:rPr>
          <w:rFonts w:ascii="Cambria" w:hAnsi="Cambria"/>
        </w:rPr>
        <w:t>Le retrait des emplacements réservés relatifs à la création d’une voie piétonne/cycliste et d’une voirie partagée de 6 mètres d’emprise ;</w:t>
      </w:r>
    </w:p>
    <w:p w:rsidR="002445B5" w:rsidRPr="002445B5" w:rsidRDefault="002445B5" w:rsidP="002445B5">
      <w:pPr>
        <w:pStyle w:val="-LettreTexteGEDA"/>
        <w:numPr>
          <w:ilvl w:val="0"/>
          <w:numId w:val="35"/>
        </w:numPr>
        <w:adjustRightInd/>
        <w:spacing w:before="0" w:after="120"/>
        <w:ind w:left="1208" w:hanging="357"/>
        <w:textAlignment w:val="auto"/>
        <w:rPr>
          <w:rFonts w:ascii="Cambria" w:hAnsi="Cambria"/>
        </w:rPr>
      </w:pPr>
      <w:r w:rsidRPr="002445B5">
        <w:rPr>
          <w:rFonts w:ascii="Cambria" w:hAnsi="Cambria"/>
        </w:rPr>
        <w:lastRenderedPageBreak/>
        <w:t>Le retrait des emplacements réservés relatifs à la création et la requalification d’une voirie partagée de 6 mètres d’emprise entre les servitudes Fareihi 1 et Papararau ;</w:t>
      </w:r>
    </w:p>
    <w:p w:rsidR="002445B5" w:rsidRPr="002445B5" w:rsidRDefault="002445B5" w:rsidP="002445B5">
      <w:pPr>
        <w:pStyle w:val="-LettreTexteGEDA"/>
        <w:numPr>
          <w:ilvl w:val="0"/>
          <w:numId w:val="35"/>
        </w:numPr>
        <w:adjustRightInd/>
        <w:spacing w:before="0" w:after="240"/>
        <w:ind w:left="1208" w:hanging="357"/>
        <w:textAlignment w:val="auto"/>
        <w:rPr>
          <w:rFonts w:ascii="Cambria" w:hAnsi="Cambria"/>
        </w:rPr>
      </w:pPr>
      <w:r w:rsidRPr="002445B5">
        <w:rPr>
          <w:rFonts w:ascii="Cambria" w:hAnsi="Cambria"/>
        </w:rPr>
        <w:t>La réduction de l’emplacement réservé relatif à la requalification d’un chemin de randonnée de 2 mètres d’emprise.</w:t>
      </w:r>
    </w:p>
    <w:p w:rsidR="002445B5" w:rsidRPr="002445B5" w:rsidRDefault="002445B5" w:rsidP="002445B5">
      <w:pPr>
        <w:pStyle w:val="-LettreTexteGEDA"/>
        <w:spacing w:before="0" w:after="120"/>
        <w:ind w:firstLine="0"/>
        <w:rPr>
          <w:rFonts w:ascii="Cambria" w:hAnsi="Cambria"/>
        </w:rPr>
      </w:pPr>
      <w:r w:rsidRPr="002445B5">
        <w:rPr>
          <w:rFonts w:ascii="Cambria" w:hAnsi="Cambria"/>
        </w:rPr>
        <w:t>Le conseil municipal de la commune ayant approuvé ces rectifications, celles-ci ont été présentées au Conseil des ministres qui les a approuvées.</w:t>
      </w:r>
    </w:p>
    <w:p w:rsidR="002445B5" w:rsidRDefault="002445B5" w:rsidP="00015FF2">
      <w:pPr>
        <w:pStyle w:val="-LettreTexteGEDA"/>
        <w:ind w:firstLine="0"/>
        <w:rPr>
          <w:rFonts w:ascii="Cambria" w:hAnsi="Cambria"/>
          <w:b/>
          <w:noProof w:val="0"/>
        </w:rPr>
      </w:pPr>
    </w:p>
    <w:p w:rsidR="002445B5" w:rsidRDefault="002445B5" w:rsidP="00015FF2">
      <w:pPr>
        <w:pStyle w:val="-LettreTexteGEDA"/>
        <w:ind w:firstLine="0"/>
        <w:rPr>
          <w:rFonts w:ascii="Cambria" w:hAnsi="Cambria"/>
          <w:b/>
          <w:noProof w:val="0"/>
        </w:rPr>
      </w:pPr>
    </w:p>
    <w:p w:rsidR="0032002F" w:rsidRDefault="0032002F" w:rsidP="0032002F">
      <w:pPr>
        <w:autoSpaceDE w:val="0"/>
        <w:autoSpaceDN w:val="0"/>
        <w:rPr>
          <w:rFonts w:ascii="Cambria" w:hAnsi="Cambria"/>
          <w:b/>
          <w:bCs/>
        </w:rPr>
      </w:pPr>
      <w:r>
        <w:rPr>
          <w:rFonts w:ascii="Cambria" w:hAnsi="Cambria"/>
          <w:b/>
          <w:bCs/>
        </w:rPr>
        <w:t>Modification de la loi du Pays relative à l’agriculture biologique</w:t>
      </w:r>
    </w:p>
    <w:p w:rsidR="0032002F" w:rsidRDefault="0032002F" w:rsidP="0032002F">
      <w:pPr>
        <w:autoSpaceDE w:val="0"/>
        <w:autoSpaceDN w:val="0"/>
        <w:jc w:val="both"/>
        <w:rPr>
          <w:rFonts w:ascii="Cambria" w:hAnsi="Cambria"/>
          <w:b/>
          <w:bCs/>
        </w:rPr>
      </w:pPr>
    </w:p>
    <w:p w:rsidR="0032002F" w:rsidRDefault="0032002F" w:rsidP="0032002F">
      <w:pPr>
        <w:autoSpaceDE w:val="0"/>
        <w:autoSpaceDN w:val="0"/>
        <w:jc w:val="both"/>
        <w:rPr>
          <w:rFonts w:ascii="Cambria" w:hAnsi="Cambria"/>
        </w:rPr>
      </w:pPr>
    </w:p>
    <w:p w:rsidR="0032002F" w:rsidRDefault="0032002F" w:rsidP="0032002F">
      <w:pPr>
        <w:autoSpaceDE w:val="0"/>
        <w:autoSpaceDN w:val="0"/>
        <w:jc w:val="both"/>
        <w:rPr>
          <w:rFonts w:ascii="Cambria" w:hAnsi="Cambria"/>
        </w:rPr>
      </w:pPr>
      <w:r>
        <w:rPr>
          <w:rFonts w:ascii="Cambria" w:hAnsi="Cambria"/>
        </w:rPr>
        <w:t xml:space="preserve">Neuf ans après l’adoption de la loi du Pays relative à l’agriculture biologique en Polynésie française, ce sont aujourd’hui 250 ha de maraichage et de vergers qui sont cultivés selon ce mode de production par plus de 300 agriculteurs biologiques, permettant d’offrir aux consommateurs des fruits et légumes made in </w:t>
      </w:r>
      <w:proofErr w:type="spellStart"/>
      <w:r>
        <w:rPr>
          <w:rFonts w:ascii="Cambria" w:hAnsi="Cambria"/>
        </w:rPr>
        <w:t>fenua</w:t>
      </w:r>
      <w:proofErr w:type="spellEnd"/>
      <w:r>
        <w:rPr>
          <w:rFonts w:ascii="Cambria" w:hAnsi="Cambria"/>
        </w:rPr>
        <w:t>.</w:t>
      </w:r>
    </w:p>
    <w:p w:rsidR="0032002F" w:rsidRDefault="0032002F" w:rsidP="0032002F">
      <w:pPr>
        <w:autoSpaceDE w:val="0"/>
        <w:autoSpaceDN w:val="0"/>
        <w:jc w:val="both"/>
        <w:rPr>
          <w:rFonts w:ascii="Cambria" w:hAnsi="Cambria"/>
        </w:rPr>
      </w:pPr>
    </w:p>
    <w:p w:rsidR="0032002F" w:rsidRDefault="0032002F" w:rsidP="0032002F">
      <w:pPr>
        <w:autoSpaceDE w:val="0"/>
        <w:autoSpaceDN w:val="0"/>
        <w:jc w:val="both"/>
        <w:rPr>
          <w:rFonts w:ascii="Cambria" w:hAnsi="Cambria"/>
        </w:rPr>
      </w:pPr>
      <w:r>
        <w:rPr>
          <w:rFonts w:ascii="Cambria" w:hAnsi="Cambria"/>
        </w:rPr>
        <w:t>La mention « agriculture biologique », avec son logo « </w:t>
      </w:r>
      <w:proofErr w:type="spellStart"/>
      <w:r>
        <w:rPr>
          <w:rFonts w:ascii="Cambria" w:hAnsi="Cambria"/>
        </w:rPr>
        <w:t>BioPasifika</w:t>
      </w:r>
      <w:proofErr w:type="spellEnd"/>
      <w:r>
        <w:rPr>
          <w:rFonts w:ascii="Cambria" w:hAnsi="Cambria"/>
        </w:rPr>
        <w:t xml:space="preserve"> », a été le premier signe de qualité mis en place réglementairement en Polynésie française. </w:t>
      </w:r>
    </w:p>
    <w:p w:rsidR="0032002F" w:rsidRDefault="0032002F" w:rsidP="0032002F">
      <w:pPr>
        <w:autoSpaceDE w:val="0"/>
        <w:autoSpaceDN w:val="0"/>
        <w:jc w:val="both"/>
        <w:rPr>
          <w:rFonts w:ascii="Cambria" w:hAnsi="Cambria"/>
        </w:rPr>
      </w:pPr>
    </w:p>
    <w:p w:rsidR="0032002F" w:rsidRDefault="0032002F" w:rsidP="0032002F">
      <w:pPr>
        <w:autoSpaceDE w:val="0"/>
        <w:autoSpaceDN w:val="0"/>
        <w:jc w:val="both"/>
        <w:rPr>
          <w:rFonts w:ascii="Cambria" w:hAnsi="Cambria"/>
        </w:rPr>
      </w:pPr>
      <w:r>
        <w:rPr>
          <w:rFonts w:ascii="Cambria" w:hAnsi="Cambria"/>
        </w:rPr>
        <w:t xml:space="preserve">Aujourd’hui, certains opérateurs souhaitent étendre la mention « agriculture biologique » à des produits non alimentaires. Par ailleurs, le terme « bio » apparait trop souvent sur des produits dont les producteurs ne sont pas certifiés. </w:t>
      </w:r>
    </w:p>
    <w:p w:rsidR="0032002F" w:rsidRDefault="0032002F" w:rsidP="0032002F">
      <w:pPr>
        <w:autoSpaceDE w:val="0"/>
        <w:autoSpaceDN w:val="0"/>
        <w:jc w:val="both"/>
        <w:rPr>
          <w:rFonts w:ascii="Cambria" w:hAnsi="Cambria"/>
        </w:rPr>
      </w:pPr>
    </w:p>
    <w:p w:rsidR="0032002F" w:rsidRDefault="0032002F" w:rsidP="0032002F">
      <w:pPr>
        <w:autoSpaceDE w:val="0"/>
        <w:autoSpaceDN w:val="0"/>
        <w:jc w:val="both"/>
        <w:rPr>
          <w:rFonts w:ascii="Cambria" w:hAnsi="Cambria"/>
        </w:rPr>
      </w:pPr>
      <w:r>
        <w:rPr>
          <w:rFonts w:ascii="Cambria" w:hAnsi="Cambria"/>
        </w:rPr>
        <w:t>Aussi, le gouvernement a souhaité proposer une modification du texte réglementaire encadrant l’agriculture biologique en Polynésie française pour étendre son champ d’application aux produits non alimentaires et instaurer également des amendes administratives pour ceux qui trompent le consommateur.</w:t>
      </w:r>
    </w:p>
    <w:p w:rsidR="0032002F" w:rsidRDefault="0032002F" w:rsidP="0032002F">
      <w:pPr>
        <w:autoSpaceDE w:val="0"/>
        <w:autoSpaceDN w:val="0"/>
        <w:jc w:val="both"/>
        <w:rPr>
          <w:rFonts w:ascii="Cambria" w:hAnsi="Cambria"/>
        </w:rPr>
      </w:pPr>
    </w:p>
    <w:p w:rsidR="0032002F" w:rsidRPr="0032002F" w:rsidRDefault="0032002F" w:rsidP="0032002F">
      <w:pPr>
        <w:autoSpaceDE w:val="0"/>
        <w:autoSpaceDN w:val="0"/>
        <w:jc w:val="both"/>
        <w:rPr>
          <w:rFonts w:ascii="Cambria" w:hAnsi="Cambria"/>
        </w:rPr>
      </w:pPr>
      <w:r>
        <w:rPr>
          <w:rFonts w:ascii="Cambria" w:hAnsi="Cambria"/>
        </w:rPr>
        <w:t>Le Conseil des ministres a ainsi transmis au Conseil économique, social,  environnemental et culturel ce projet de loi du Pays pour avis.</w:t>
      </w:r>
    </w:p>
    <w:p w:rsidR="0032002F" w:rsidRDefault="0032002F" w:rsidP="00015FF2">
      <w:pPr>
        <w:pStyle w:val="-LettreTexteGEDA"/>
        <w:ind w:firstLine="0"/>
        <w:rPr>
          <w:rFonts w:ascii="Cambria" w:hAnsi="Cambria"/>
          <w:b/>
          <w:noProof w:val="0"/>
        </w:rPr>
      </w:pPr>
    </w:p>
    <w:p w:rsidR="005729FB" w:rsidRPr="00A3063F" w:rsidRDefault="00A3063F" w:rsidP="00015FF2">
      <w:pPr>
        <w:pStyle w:val="-LettreTexteGEDA"/>
        <w:ind w:firstLine="0"/>
        <w:rPr>
          <w:rFonts w:ascii="Cambria" w:hAnsi="Cambria"/>
          <w:b/>
        </w:rPr>
      </w:pPr>
      <w:r w:rsidRPr="00A3063F">
        <w:rPr>
          <w:rFonts w:ascii="Cambria" w:hAnsi="Cambria"/>
          <w:b/>
          <w:noProof w:val="0"/>
        </w:rPr>
        <w:t>Modalités de l’organisation de l’épreuve orale d’admission des concours de la fonction publique de la Polynésie française</w:t>
      </w:r>
    </w:p>
    <w:p w:rsidR="005729FB" w:rsidRPr="00A3063F" w:rsidRDefault="005729FB" w:rsidP="00015FF2">
      <w:pPr>
        <w:pStyle w:val="-LettreTexteGEDA"/>
        <w:ind w:firstLine="0"/>
        <w:rPr>
          <w:rFonts w:ascii="Cambria" w:hAnsi="Cambria"/>
          <w:b/>
        </w:rPr>
      </w:pPr>
    </w:p>
    <w:p w:rsidR="00A3063F" w:rsidRPr="00A3063F" w:rsidRDefault="00A3063F" w:rsidP="00A3063F">
      <w:pPr>
        <w:pStyle w:val="-LettreTexteGEDA"/>
        <w:spacing w:before="0" w:after="240"/>
        <w:ind w:firstLine="0"/>
        <w:rPr>
          <w:rFonts w:ascii="Cambria" w:hAnsi="Cambria"/>
          <w:noProof w:val="0"/>
        </w:rPr>
      </w:pPr>
      <w:r w:rsidRPr="00A3063F">
        <w:rPr>
          <w:rFonts w:ascii="Cambria" w:hAnsi="Cambria"/>
          <w:noProof w:val="0"/>
        </w:rPr>
        <w:t>La délibération du 14 décembre 1995 modifiée, portant statut général de la fonction publique de la Polynésie française dispose que, pour les concours de recrutement dans la fonction publique de la Polynésie française, « </w:t>
      </w:r>
      <w:r w:rsidRPr="00A3063F">
        <w:rPr>
          <w:rFonts w:ascii="Cambria" w:hAnsi="Cambria"/>
          <w:i/>
          <w:noProof w:val="0"/>
        </w:rPr>
        <w:t>le jury peut, si nécessaire, et pour toute épreuve, se constituer en groupe d’examinateurs</w:t>
      </w:r>
      <w:r w:rsidRPr="00A3063F">
        <w:rPr>
          <w:rFonts w:ascii="Cambria" w:hAnsi="Cambria"/>
          <w:noProof w:val="0"/>
        </w:rPr>
        <w:t>. »</w:t>
      </w:r>
    </w:p>
    <w:p w:rsidR="00A3063F" w:rsidRPr="00A3063F" w:rsidRDefault="00A3063F" w:rsidP="00A3063F">
      <w:pPr>
        <w:pStyle w:val="-LettreTexteGEDA"/>
        <w:spacing w:before="0" w:after="240"/>
        <w:ind w:firstLine="0"/>
        <w:rPr>
          <w:rFonts w:ascii="Cambria" w:hAnsi="Cambria"/>
          <w:noProof w:val="0"/>
        </w:rPr>
      </w:pPr>
      <w:r w:rsidRPr="00A3063F">
        <w:rPr>
          <w:rFonts w:ascii="Cambria" w:hAnsi="Cambria"/>
          <w:noProof w:val="0"/>
        </w:rPr>
        <w:t>En vue de l’organisation des prochains concours de recrutement de la fonction publique de la Polynésie française, le Conseil des ministres a pris un arrêté qui met en œuvre la possibilité de constituer des groupes d’examinateurs pour l’épreuve orale d’admission des concours précités, en fonction du nombre de candidats déclarés admissibles.</w:t>
      </w:r>
    </w:p>
    <w:p w:rsidR="00A3063F" w:rsidRPr="00A3063F" w:rsidRDefault="00A3063F" w:rsidP="00A3063F">
      <w:pPr>
        <w:pStyle w:val="-LettreTexteGEDA"/>
        <w:spacing w:before="0" w:after="240"/>
        <w:ind w:firstLine="0"/>
        <w:rPr>
          <w:rFonts w:ascii="Cambria" w:hAnsi="Cambria"/>
          <w:noProof w:val="0"/>
        </w:rPr>
      </w:pPr>
      <w:r w:rsidRPr="00A3063F">
        <w:rPr>
          <w:rFonts w:ascii="Cambria" w:hAnsi="Cambria"/>
          <w:noProof w:val="0"/>
        </w:rPr>
        <w:lastRenderedPageBreak/>
        <w:t>Il est ainsi prévu que chaque groupe d’examinateurs comprenne :</w:t>
      </w:r>
    </w:p>
    <w:p w:rsidR="00A3063F" w:rsidRPr="00A3063F" w:rsidRDefault="00A3063F" w:rsidP="00A3063F">
      <w:pPr>
        <w:pStyle w:val="-ActeArticlecontenuGEDA"/>
        <w:numPr>
          <w:ilvl w:val="0"/>
          <w:numId w:val="27"/>
        </w:numPr>
        <w:rPr>
          <w:rFonts w:ascii="Cambria" w:hAnsi="Cambria"/>
        </w:rPr>
      </w:pPr>
      <w:r w:rsidRPr="00A3063F">
        <w:rPr>
          <w:rFonts w:ascii="Cambria" w:hAnsi="Cambria"/>
        </w:rPr>
        <w:t>un membre du jury nommé par arrêté de l’autorité compétente, à l’exception du représentant du personnel correspondant au cadre d’emplois pour le recrutement duquel le concours est organisé et désigné par tirage au sort parmi les représentants du personnel à la commission administrative paritaire compétente ;</w:t>
      </w:r>
    </w:p>
    <w:p w:rsidR="00A3063F" w:rsidRPr="00A3063F" w:rsidRDefault="00A3063F" w:rsidP="00A3063F">
      <w:pPr>
        <w:pStyle w:val="-ActeArticlecontenuGEDA"/>
        <w:numPr>
          <w:ilvl w:val="0"/>
          <w:numId w:val="27"/>
        </w:numPr>
        <w:rPr>
          <w:rFonts w:ascii="Cambria" w:hAnsi="Cambria"/>
        </w:rPr>
      </w:pPr>
      <w:r w:rsidRPr="00A3063F">
        <w:rPr>
          <w:rFonts w:ascii="Cambria" w:hAnsi="Cambria"/>
        </w:rPr>
        <w:t xml:space="preserve">un agent public désigné par l’un des membres du jury nommé par arrêté de l’autorité compétente, à l’exception du représentant du personnel correspondant au cadre d’emplois pour le recrutement duquel le concours est organisé et désigné par tirage au sort parmi les représentants du personnel à la commission administrative paritaire compétente ; </w:t>
      </w:r>
    </w:p>
    <w:p w:rsidR="00A3063F" w:rsidRPr="00A3063F" w:rsidRDefault="00A3063F" w:rsidP="00A3063F">
      <w:pPr>
        <w:pStyle w:val="-ActeArticlecontenuGEDA"/>
        <w:numPr>
          <w:ilvl w:val="0"/>
          <w:numId w:val="27"/>
        </w:numPr>
        <w:rPr>
          <w:rFonts w:ascii="Cambria" w:hAnsi="Cambria"/>
        </w:rPr>
      </w:pPr>
      <w:r w:rsidRPr="00A3063F">
        <w:rPr>
          <w:rFonts w:ascii="Cambria" w:hAnsi="Cambria"/>
        </w:rPr>
        <w:t xml:space="preserve">un représentant du personnel désigné parmi les représentants du personnel (titulaires ou suppléants) à la commission administrative paritaire compétente correspondant au cadre d’emplois pour le recrutement duquel le concours est organisé.      </w:t>
      </w:r>
    </w:p>
    <w:p w:rsidR="00A3063F" w:rsidRPr="00A3063F" w:rsidRDefault="00A3063F" w:rsidP="00A3063F">
      <w:pPr>
        <w:pStyle w:val="-LettreTexteGEDA"/>
        <w:spacing w:before="0" w:after="240"/>
        <w:ind w:firstLine="0"/>
        <w:rPr>
          <w:rFonts w:ascii="Cambria" w:hAnsi="Cambria"/>
          <w:noProof w:val="0"/>
        </w:rPr>
      </w:pPr>
    </w:p>
    <w:p w:rsidR="00A3063F" w:rsidRPr="00A3063F" w:rsidRDefault="00A3063F" w:rsidP="00A3063F">
      <w:pPr>
        <w:pStyle w:val="-LettreTexteGEDA"/>
        <w:spacing w:before="0" w:after="240"/>
        <w:ind w:firstLine="0"/>
        <w:rPr>
          <w:rFonts w:ascii="Cambria" w:hAnsi="Cambria"/>
          <w:noProof w:val="0"/>
        </w:rPr>
      </w:pPr>
      <w:r w:rsidRPr="00A3063F">
        <w:rPr>
          <w:rFonts w:ascii="Cambria" w:hAnsi="Cambria"/>
          <w:noProof w:val="0"/>
        </w:rPr>
        <w:t>La composition du groupe d’examinateurs sera inchangée pendant la durée des épreuves, et le remplacement d’un examinateur qualifié absent, même temporairement, n’est pas autorisé.</w:t>
      </w:r>
    </w:p>
    <w:p w:rsidR="00A3063F" w:rsidRPr="00A3063F" w:rsidRDefault="00A3063F" w:rsidP="00A3063F">
      <w:pPr>
        <w:pStyle w:val="-LettreTexteGEDA"/>
        <w:spacing w:before="0" w:after="240"/>
        <w:ind w:firstLine="0"/>
        <w:rPr>
          <w:rFonts w:ascii="Cambria" w:hAnsi="Cambria"/>
          <w:noProof w:val="0"/>
        </w:rPr>
      </w:pPr>
      <w:r w:rsidRPr="00A3063F">
        <w:rPr>
          <w:rFonts w:ascii="Cambria" w:hAnsi="Cambria"/>
          <w:noProof w:val="0"/>
        </w:rPr>
        <w:t>Il est également prévu une grille d’évaluation commune à tous les groupes d’examinateurs afin d’assurer le respect du principe d’égalité dans l’appréciation des aptitudes des candidats. Cette grille d’évaluation est arrêtée par le jury du concours nommé par arrêté de l’autorité compétente.</w:t>
      </w:r>
    </w:p>
    <w:p w:rsidR="005729FB" w:rsidRPr="00A3063F" w:rsidRDefault="005729FB" w:rsidP="00A3063F">
      <w:pPr>
        <w:pStyle w:val="-LettreTexteGEDA"/>
        <w:ind w:firstLine="0"/>
        <w:rPr>
          <w:rFonts w:ascii="Cambria" w:hAnsi="Cambria"/>
          <w:b/>
        </w:rPr>
      </w:pPr>
    </w:p>
    <w:p w:rsidR="00A3063F" w:rsidRPr="00A3063F" w:rsidRDefault="00A3063F" w:rsidP="00A3063F">
      <w:pPr>
        <w:jc w:val="both"/>
        <w:rPr>
          <w:rFonts w:ascii="Cambria" w:hAnsi="Cambria"/>
          <w:b/>
          <w:sz w:val="22"/>
          <w:szCs w:val="22"/>
          <w:lang w:eastAsia="en-US"/>
        </w:rPr>
      </w:pPr>
      <w:r w:rsidRPr="00A3063F">
        <w:rPr>
          <w:rFonts w:ascii="Cambria" w:hAnsi="Cambria"/>
          <w:b/>
        </w:rPr>
        <w:t>Subvention pour l’interconnexion entre le Centre 15 et le Centre de transfert d'appel</w:t>
      </w:r>
    </w:p>
    <w:p w:rsidR="00A3063F" w:rsidRPr="00A3063F" w:rsidRDefault="00A3063F" w:rsidP="00A3063F">
      <w:pPr>
        <w:pStyle w:val="Default"/>
        <w:spacing w:before="360"/>
        <w:jc w:val="both"/>
        <w:rPr>
          <w:rFonts w:ascii="Cambria" w:hAnsi="Cambria"/>
        </w:rPr>
      </w:pPr>
      <w:r w:rsidRPr="00A3063F">
        <w:rPr>
          <w:rFonts w:ascii="Cambria" w:hAnsi="Cambria"/>
        </w:rPr>
        <w:t xml:space="preserve">Dans le cadre du volet Santé du </w:t>
      </w:r>
      <w:r>
        <w:rPr>
          <w:rFonts w:ascii="Cambria" w:hAnsi="Cambria"/>
          <w:noProof/>
        </w:rPr>
        <w:t>C</w:t>
      </w:r>
      <w:r w:rsidRPr="00A3063F">
        <w:rPr>
          <w:rFonts w:ascii="Cambria" w:hAnsi="Cambria"/>
          <w:noProof/>
        </w:rPr>
        <w:t>ontrat de projets Etat-Polynésie française</w:t>
      </w:r>
      <w:r w:rsidRPr="00A3063F">
        <w:rPr>
          <w:rFonts w:ascii="Cambria" w:hAnsi="Cambria"/>
        </w:rPr>
        <w:t xml:space="preserve"> </w:t>
      </w:r>
      <w:r w:rsidRPr="00A3063F">
        <w:rPr>
          <w:rFonts w:ascii="Cambria" w:hAnsi="Cambria"/>
          <w:noProof/>
        </w:rPr>
        <w:t>2015/2020</w:t>
      </w:r>
      <w:r w:rsidRPr="00A3063F">
        <w:rPr>
          <w:rFonts w:ascii="Cambria" w:hAnsi="Cambria"/>
        </w:rPr>
        <w:t>, le Comité de pilotage a validé</w:t>
      </w:r>
      <w:r w:rsidR="00213C2C">
        <w:rPr>
          <w:rFonts w:ascii="Cambria" w:hAnsi="Cambria"/>
        </w:rPr>
        <w:t>, en décembre 2018,</w:t>
      </w:r>
      <w:r w:rsidRPr="00A3063F">
        <w:rPr>
          <w:rFonts w:ascii="Cambria" w:hAnsi="Cambria"/>
        </w:rPr>
        <w:t xml:space="preserve"> l’octroi d’une subvention d’un montant total de </w:t>
      </w:r>
      <w:r w:rsidRPr="00A3063F">
        <w:rPr>
          <w:rStyle w:val="st"/>
          <w:rFonts w:ascii="Cambria" w:hAnsi="Cambria"/>
          <w:noProof/>
        </w:rPr>
        <w:t>148.000.000</w:t>
      </w:r>
      <w:r w:rsidRPr="00A3063F">
        <w:rPr>
          <w:rFonts w:ascii="Cambria" w:hAnsi="Cambria"/>
        </w:rPr>
        <w:t xml:space="preserve"> </w:t>
      </w:r>
      <w:proofErr w:type="spellStart"/>
      <w:r w:rsidRPr="00A3063F">
        <w:rPr>
          <w:rFonts w:ascii="Cambria" w:hAnsi="Cambria"/>
        </w:rPr>
        <w:t>F</w:t>
      </w:r>
      <w:r w:rsidR="00213C2C">
        <w:rPr>
          <w:rFonts w:ascii="Cambria" w:hAnsi="Cambria"/>
        </w:rPr>
        <w:t>cfp</w:t>
      </w:r>
      <w:proofErr w:type="spellEnd"/>
      <w:r w:rsidRPr="00A3063F">
        <w:rPr>
          <w:rFonts w:ascii="Cambria" w:hAnsi="Cambria"/>
        </w:rPr>
        <w:t xml:space="preserve"> TTC au Centre hospitalier de la Polynésie française (CHPF) aux fins de financer l’</w:t>
      </w:r>
      <w:r w:rsidRPr="00A3063F">
        <w:rPr>
          <w:rFonts w:ascii="Cambria" w:hAnsi="Cambria"/>
          <w:noProof/>
        </w:rPr>
        <w:t>interconnexion entre le Centre 15 et le Centre de transfert d'appel (CTA) 18</w:t>
      </w:r>
      <w:r w:rsidRPr="00A3063F">
        <w:rPr>
          <w:rFonts w:ascii="Cambria" w:hAnsi="Cambria"/>
        </w:rPr>
        <w:t>.</w:t>
      </w:r>
    </w:p>
    <w:p w:rsidR="00A3063F" w:rsidRPr="00A3063F" w:rsidRDefault="00A3063F" w:rsidP="00213C2C">
      <w:pPr>
        <w:pStyle w:val="Default"/>
        <w:spacing w:before="120"/>
        <w:jc w:val="both"/>
        <w:rPr>
          <w:rFonts w:ascii="Cambria" w:hAnsi="Cambria"/>
        </w:rPr>
      </w:pPr>
      <w:r w:rsidRPr="00A3063F">
        <w:rPr>
          <w:rFonts w:ascii="Cambria" w:hAnsi="Cambria"/>
        </w:rPr>
        <w:t xml:space="preserve">Conformément à la politique de santé de la Polynésie française définie par la délibération </w:t>
      </w:r>
      <w:r w:rsidR="00213C2C">
        <w:rPr>
          <w:rFonts w:ascii="Cambria" w:hAnsi="Cambria"/>
        </w:rPr>
        <w:t>de l’Assemblée de la Polynésie française</w:t>
      </w:r>
      <w:r w:rsidRPr="00A3063F">
        <w:rPr>
          <w:rFonts w:ascii="Cambria" w:hAnsi="Cambria"/>
        </w:rPr>
        <w:t xml:space="preserve"> du 16 février 2016, qui établit le développement d’un système de santé performant et efficient dans un contexte financier contraint, le CHPF a répertorié, dans son projet d’établissement, les secteurs prioritaires dont les outils doivent être modernisés pour atteindre le niveau requis. La gestion de la régulation des appels d’urgence en fait partie.</w:t>
      </w:r>
    </w:p>
    <w:p w:rsidR="00A3063F" w:rsidRPr="00A3063F" w:rsidRDefault="00A3063F" w:rsidP="00213C2C">
      <w:pPr>
        <w:autoSpaceDE w:val="0"/>
        <w:autoSpaceDN w:val="0"/>
        <w:adjustRightInd w:val="0"/>
        <w:spacing w:before="180"/>
        <w:jc w:val="both"/>
        <w:rPr>
          <w:rFonts w:ascii="Cambria" w:hAnsi="Cambria"/>
        </w:rPr>
      </w:pPr>
      <w:r w:rsidRPr="00A3063F">
        <w:rPr>
          <w:rFonts w:ascii="Cambria" w:hAnsi="Cambria"/>
        </w:rPr>
        <w:t xml:space="preserve">Ce projet comprend </w:t>
      </w:r>
      <w:r w:rsidR="00213C2C">
        <w:rPr>
          <w:rFonts w:ascii="Cambria" w:hAnsi="Cambria"/>
        </w:rPr>
        <w:t>trois</w:t>
      </w:r>
      <w:r w:rsidRPr="00A3063F">
        <w:rPr>
          <w:rFonts w:ascii="Cambria" w:hAnsi="Cambria"/>
        </w:rPr>
        <w:t xml:space="preserve"> objectifs principaux :</w:t>
      </w:r>
    </w:p>
    <w:p w:rsidR="00A3063F" w:rsidRPr="00A3063F" w:rsidRDefault="00213C2C" w:rsidP="00213C2C">
      <w:pPr>
        <w:suppressAutoHyphens/>
        <w:autoSpaceDE w:val="0"/>
        <w:autoSpaceDN w:val="0"/>
        <w:adjustRightInd w:val="0"/>
        <w:spacing w:before="120"/>
        <w:jc w:val="both"/>
        <w:rPr>
          <w:rFonts w:ascii="Cambria" w:hAnsi="Cambria"/>
        </w:rPr>
      </w:pPr>
      <w:r>
        <w:rPr>
          <w:rFonts w:ascii="Cambria" w:hAnsi="Cambria"/>
        </w:rPr>
        <w:t>-</w:t>
      </w:r>
      <w:r w:rsidR="00A3063F" w:rsidRPr="00213C2C">
        <w:rPr>
          <w:rFonts w:ascii="Cambria" w:hAnsi="Cambria"/>
        </w:rPr>
        <w:t xml:space="preserve">Un </w:t>
      </w:r>
      <w:r>
        <w:rPr>
          <w:rFonts w:ascii="Cambria" w:hAnsi="Cambria"/>
        </w:rPr>
        <w:t xml:space="preserve">objectif opérationnel visant à </w:t>
      </w:r>
      <w:r w:rsidR="00A3063F" w:rsidRPr="00A3063F">
        <w:rPr>
          <w:rFonts w:ascii="Cambria" w:hAnsi="Cambria"/>
        </w:rPr>
        <w:t>maintenir les conditions de bon fonctionnement</w:t>
      </w:r>
      <w:r>
        <w:rPr>
          <w:rFonts w:ascii="Cambria" w:hAnsi="Cambria"/>
        </w:rPr>
        <w:t xml:space="preserve">, et à </w:t>
      </w:r>
      <w:r w:rsidR="00A3063F" w:rsidRPr="00A3063F">
        <w:rPr>
          <w:rFonts w:ascii="Cambria" w:hAnsi="Cambria"/>
        </w:rPr>
        <w:t xml:space="preserve">améliorer la productivité des professionnels concernés et le partage des informations vers les autres services (intégration avec le dossier patient, </w:t>
      </w:r>
      <w:proofErr w:type="spellStart"/>
      <w:r w:rsidR="00A3063F" w:rsidRPr="00A3063F">
        <w:rPr>
          <w:rFonts w:ascii="Cambria" w:hAnsi="Cambria"/>
        </w:rPr>
        <w:t>géo-localisation</w:t>
      </w:r>
      <w:proofErr w:type="spellEnd"/>
      <w:r w:rsidR="00A3063F" w:rsidRPr="00A3063F">
        <w:rPr>
          <w:rFonts w:ascii="Cambria" w:hAnsi="Cambria"/>
        </w:rPr>
        <w:t xml:space="preserve"> et guidage des ambulances du SMUR) ;</w:t>
      </w:r>
    </w:p>
    <w:p w:rsidR="00A3063F" w:rsidRPr="00213C2C" w:rsidRDefault="00213C2C" w:rsidP="00213C2C">
      <w:pPr>
        <w:suppressAutoHyphens/>
        <w:autoSpaceDE w:val="0"/>
        <w:autoSpaceDN w:val="0"/>
        <w:adjustRightInd w:val="0"/>
        <w:spacing w:before="120"/>
        <w:jc w:val="both"/>
        <w:rPr>
          <w:rFonts w:ascii="Cambria" w:hAnsi="Cambria"/>
        </w:rPr>
      </w:pPr>
      <w:r>
        <w:rPr>
          <w:rFonts w:ascii="Cambria" w:hAnsi="Cambria"/>
        </w:rPr>
        <w:lastRenderedPageBreak/>
        <w:t>-</w:t>
      </w:r>
      <w:r w:rsidR="00A3063F" w:rsidRPr="00213C2C">
        <w:rPr>
          <w:rFonts w:ascii="Cambria" w:hAnsi="Cambria"/>
        </w:rPr>
        <w:t>Un objectif réglementaire et juridique pour gagner en conformité (enregistrement de tous les appels de la régulation, respect du secret médical et sécurisation des dossiers de régulation) ;</w:t>
      </w:r>
    </w:p>
    <w:p w:rsidR="00A3063F" w:rsidRPr="00213C2C" w:rsidRDefault="00213C2C" w:rsidP="00213C2C">
      <w:pPr>
        <w:suppressAutoHyphens/>
        <w:autoSpaceDE w:val="0"/>
        <w:autoSpaceDN w:val="0"/>
        <w:adjustRightInd w:val="0"/>
        <w:spacing w:before="120"/>
        <w:jc w:val="both"/>
        <w:rPr>
          <w:rFonts w:ascii="Cambria" w:hAnsi="Cambria"/>
        </w:rPr>
      </w:pPr>
      <w:r>
        <w:rPr>
          <w:rFonts w:ascii="Cambria" w:hAnsi="Cambria"/>
        </w:rPr>
        <w:t>-</w:t>
      </w:r>
      <w:r w:rsidR="00A3063F" w:rsidRPr="00213C2C">
        <w:rPr>
          <w:rFonts w:ascii="Cambria" w:hAnsi="Cambria"/>
        </w:rPr>
        <w:t>L’intégration de la solution avec celle du Centre de traitement des appels sur le 18 (CTA-pompier), présent sur le même site.</w:t>
      </w:r>
    </w:p>
    <w:p w:rsidR="00A3063F" w:rsidRPr="00A3063F" w:rsidRDefault="00A3063F" w:rsidP="00213C2C">
      <w:pPr>
        <w:autoSpaceDE w:val="0"/>
        <w:autoSpaceDN w:val="0"/>
        <w:adjustRightInd w:val="0"/>
        <w:spacing w:before="180"/>
        <w:jc w:val="both"/>
        <w:rPr>
          <w:rFonts w:ascii="Cambria" w:hAnsi="Cambria"/>
        </w:rPr>
      </w:pPr>
      <w:r w:rsidRPr="00A3063F">
        <w:rPr>
          <w:rFonts w:ascii="Cambria" w:hAnsi="Cambria"/>
        </w:rPr>
        <w:t>Les résultats attendus sont :</w:t>
      </w:r>
    </w:p>
    <w:p w:rsidR="00A3063F" w:rsidRPr="00213C2C" w:rsidRDefault="00213C2C" w:rsidP="00213C2C">
      <w:pPr>
        <w:autoSpaceDE w:val="0"/>
        <w:autoSpaceDN w:val="0"/>
        <w:adjustRightInd w:val="0"/>
        <w:spacing w:before="120"/>
        <w:jc w:val="both"/>
        <w:rPr>
          <w:rFonts w:ascii="Cambria" w:hAnsi="Cambria"/>
          <w:b/>
          <w:u w:val="single"/>
        </w:rPr>
      </w:pPr>
      <w:r w:rsidRPr="00213C2C">
        <w:rPr>
          <w:rFonts w:ascii="Cambria" w:hAnsi="Cambria"/>
          <w:u w:val="single"/>
        </w:rPr>
        <w:t>A</w:t>
      </w:r>
      <w:r>
        <w:rPr>
          <w:rFonts w:ascii="Cambria" w:hAnsi="Cambria"/>
          <w:u w:val="single"/>
        </w:rPr>
        <w:t>u niveau qualitatif</w:t>
      </w:r>
      <w:r w:rsidRPr="00213C2C">
        <w:rPr>
          <w:rFonts w:ascii="Cambria" w:hAnsi="Cambria"/>
          <w:u w:val="single"/>
        </w:rPr>
        <w:t>:</w:t>
      </w:r>
      <w:r>
        <w:rPr>
          <w:rFonts w:ascii="Cambria" w:hAnsi="Cambria"/>
          <w:b/>
          <w:u w:val="single"/>
        </w:rPr>
        <w:t xml:space="preserve"> </w:t>
      </w:r>
      <w:r w:rsidR="00A3063F" w:rsidRPr="00213C2C">
        <w:rPr>
          <w:rFonts w:ascii="Cambria" w:hAnsi="Cambria"/>
        </w:rPr>
        <w:t>l’assistance à la prise en charge des patients ;</w:t>
      </w:r>
      <w:r>
        <w:rPr>
          <w:rFonts w:ascii="Cambria" w:hAnsi="Cambria"/>
          <w:b/>
          <w:u w:val="single"/>
        </w:rPr>
        <w:t xml:space="preserve"> </w:t>
      </w:r>
      <w:r w:rsidR="00A3063F" w:rsidRPr="00213C2C">
        <w:rPr>
          <w:rFonts w:ascii="Cambria" w:hAnsi="Cambria"/>
        </w:rPr>
        <w:t xml:space="preserve">l’amélioration de la qualité de </w:t>
      </w:r>
      <w:r>
        <w:rPr>
          <w:rFonts w:ascii="Cambria" w:hAnsi="Cambria"/>
        </w:rPr>
        <w:t>l’information</w:t>
      </w:r>
      <w:r w:rsidR="00A3063F" w:rsidRPr="00213C2C">
        <w:rPr>
          <w:rFonts w:ascii="Cambria" w:hAnsi="Cambria"/>
        </w:rPr>
        <w:t> ;</w:t>
      </w:r>
      <w:r>
        <w:rPr>
          <w:rFonts w:ascii="Cambria" w:hAnsi="Cambria"/>
          <w:b/>
          <w:u w:val="single"/>
        </w:rPr>
        <w:t xml:space="preserve"> </w:t>
      </w:r>
      <w:r w:rsidR="00A3063F" w:rsidRPr="00213C2C">
        <w:rPr>
          <w:rFonts w:ascii="Cambria" w:hAnsi="Cambria"/>
        </w:rPr>
        <w:t>l’amélioration de la qualité du dossier médical (intégration)</w:t>
      </w:r>
      <w:r>
        <w:rPr>
          <w:rFonts w:ascii="Cambria" w:hAnsi="Cambria"/>
        </w:rPr>
        <w:t xml:space="preserve"> et </w:t>
      </w:r>
      <w:r w:rsidR="00A3063F" w:rsidRPr="00213C2C">
        <w:rPr>
          <w:rFonts w:ascii="Cambria" w:hAnsi="Cambria"/>
        </w:rPr>
        <w:t>la disponibilité des données en toute circonstance et tout lieu (mobilité et multi-supports).</w:t>
      </w:r>
    </w:p>
    <w:p w:rsidR="00A3063F" w:rsidRPr="00213C2C" w:rsidRDefault="00213C2C" w:rsidP="00213C2C">
      <w:pPr>
        <w:tabs>
          <w:tab w:val="left" w:pos="1418"/>
        </w:tabs>
        <w:autoSpaceDE w:val="0"/>
        <w:autoSpaceDN w:val="0"/>
        <w:adjustRightInd w:val="0"/>
        <w:spacing w:before="120"/>
        <w:jc w:val="both"/>
        <w:rPr>
          <w:rFonts w:ascii="Cambria" w:hAnsi="Cambria"/>
          <w:b/>
        </w:rPr>
      </w:pPr>
      <w:r w:rsidRPr="00213C2C">
        <w:rPr>
          <w:rFonts w:ascii="Cambria" w:hAnsi="Cambria"/>
          <w:u w:val="single"/>
        </w:rPr>
        <w:t>A</w:t>
      </w:r>
      <w:r w:rsidR="00A3063F" w:rsidRPr="00213C2C">
        <w:rPr>
          <w:rFonts w:ascii="Cambria" w:hAnsi="Cambria"/>
          <w:u w:val="single"/>
        </w:rPr>
        <w:t>u niveau quantitatif</w:t>
      </w:r>
      <w:r w:rsidRPr="00213C2C">
        <w:rPr>
          <w:rFonts w:ascii="Cambria" w:hAnsi="Cambria"/>
        </w:rPr>
        <w:t>:</w:t>
      </w:r>
      <w:r>
        <w:rPr>
          <w:rFonts w:ascii="Cambria" w:hAnsi="Cambria"/>
          <w:b/>
        </w:rPr>
        <w:t xml:space="preserve"> </w:t>
      </w:r>
      <w:r w:rsidR="00A3063F" w:rsidRPr="00213C2C">
        <w:rPr>
          <w:rFonts w:ascii="Cambria" w:hAnsi="Cambria"/>
        </w:rPr>
        <w:t>la prise en charge de l’ensemble des appels (gestion du délai d’attente et des appels non aboutis), avec automatisation la plus large possible</w:t>
      </w:r>
      <w:r>
        <w:rPr>
          <w:rFonts w:ascii="Cambria" w:hAnsi="Cambria"/>
        </w:rPr>
        <w:t xml:space="preserve"> et </w:t>
      </w:r>
      <w:r w:rsidR="00A3063F" w:rsidRPr="00A3063F">
        <w:rPr>
          <w:rFonts w:ascii="Cambria" w:hAnsi="Cambria"/>
        </w:rPr>
        <w:t>le suivi d’indicateurs spécifiques à la régulation.</w:t>
      </w:r>
    </w:p>
    <w:p w:rsidR="00A3063F" w:rsidRPr="00A3063F" w:rsidRDefault="00213C2C" w:rsidP="00213C2C">
      <w:pPr>
        <w:pStyle w:val="Default"/>
        <w:spacing w:before="180"/>
        <w:jc w:val="both"/>
        <w:rPr>
          <w:rFonts w:ascii="Cambria" w:hAnsi="Cambria"/>
        </w:rPr>
      </w:pPr>
      <w:r>
        <w:rPr>
          <w:rFonts w:ascii="Cambria" w:hAnsi="Cambria"/>
        </w:rPr>
        <w:t xml:space="preserve">Un </w:t>
      </w:r>
      <w:r w:rsidR="00A3063F" w:rsidRPr="00A3063F">
        <w:rPr>
          <w:rFonts w:ascii="Cambria" w:hAnsi="Cambria"/>
        </w:rPr>
        <w:t xml:space="preserve">arrêté </w:t>
      </w:r>
      <w:r>
        <w:rPr>
          <w:rFonts w:ascii="Cambria" w:hAnsi="Cambria"/>
        </w:rPr>
        <w:t>du Haut-commissaire</w:t>
      </w:r>
      <w:r w:rsidR="00A3063F" w:rsidRPr="00A3063F">
        <w:rPr>
          <w:rFonts w:ascii="Cambria" w:hAnsi="Cambria"/>
        </w:rPr>
        <w:t xml:space="preserve"> du 23 septembre 2019 formalise le montant et les conditions de participation de l’Etat et de la Polynésie française aux dépenses liées à cette opération.</w:t>
      </w:r>
      <w:r>
        <w:rPr>
          <w:rFonts w:ascii="Cambria" w:hAnsi="Cambria"/>
        </w:rPr>
        <w:t xml:space="preserve"> L</w:t>
      </w:r>
      <w:r w:rsidR="00A3063F" w:rsidRPr="00A3063F">
        <w:rPr>
          <w:rFonts w:ascii="Cambria" w:hAnsi="Cambria"/>
        </w:rPr>
        <w:t xml:space="preserve">e concours de la Polynésie française </w:t>
      </w:r>
      <w:r>
        <w:rPr>
          <w:rFonts w:ascii="Cambria" w:hAnsi="Cambria"/>
        </w:rPr>
        <w:t>sera de</w:t>
      </w:r>
      <w:r w:rsidR="00A3063F" w:rsidRPr="00A3063F">
        <w:rPr>
          <w:rFonts w:ascii="Cambria" w:hAnsi="Cambria"/>
        </w:rPr>
        <w:t xml:space="preserve"> 64 431 702 </w:t>
      </w:r>
      <w:proofErr w:type="spellStart"/>
      <w:r w:rsidR="00A3063F" w:rsidRPr="00A3063F">
        <w:rPr>
          <w:rFonts w:ascii="Cambria" w:hAnsi="Cambria"/>
        </w:rPr>
        <w:t>F</w:t>
      </w:r>
      <w:r>
        <w:rPr>
          <w:rFonts w:ascii="Cambria" w:hAnsi="Cambria"/>
        </w:rPr>
        <w:t>cfp</w:t>
      </w:r>
      <w:proofErr w:type="spellEnd"/>
      <w:r w:rsidR="00A3063F" w:rsidRPr="00A3063F">
        <w:rPr>
          <w:rFonts w:ascii="Cambria" w:hAnsi="Cambria"/>
        </w:rPr>
        <w:t xml:space="preserve"> HT (soit 50 % du montant HT), auquel il convient d’ajouter le montant de la TVA, soit 19 136 595 </w:t>
      </w:r>
      <w:proofErr w:type="spellStart"/>
      <w:r w:rsidR="00A3063F" w:rsidRPr="00A3063F">
        <w:rPr>
          <w:rFonts w:ascii="Cambria" w:hAnsi="Cambria"/>
        </w:rPr>
        <w:t>F</w:t>
      </w:r>
      <w:r>
        <w:rPr>
          <w:rFonts w:ascii="Cambria" w:hAnsi="Cambria"/>
        </w:rPr>
        <w:t>cfp</w:t>
      </w:r>
      <w:proofErr w:type="spellEnd"/>
      <w:r w:rsidR="00A3063F" w:rsidRPr="00A3063F">
        <w:rPr>
          <w:rFonts w:ascii="Cambria" w:hAnsi="Cambria"/>
        </w:rPr>
        <w:t>.</w:t>
      </w:r>
      <w:r>
        <w:rPr>
          <w:rFonts w:ascii="Cambria" w:hAnsi="Cambria"/>
        </w:rPr>
        <w:t xml:space="preserve"> </w:t>
      </w:r>
      <w:r w:rsidR="00A3063F" w:rsidRPr="00A3063F">
        <w:rPr>
          <w:rFonts w:ascii="Cambria" w:hAnsi="Cambria"/>
        </w:rPr>
        <w:t xml:space="preserve">Le montant TTC de la subvention attribuée par le Pays s’élève donc à 83 568 297 </w:t>
      </w:r>
      <w:proofErr w:type="spellStart"/>
      <w:r w:rsidR="00A3063F" w:rsidRPr="00A3063F">
        <w:rPr>
          <w:rFonts w:ascii="Cambria" w:hAnsi="Cambria"/>
        </w:rPr>
        <w:t>F</w:t>
      </w:r>
      <w:r>
        <w:rPr>
          <w:rFonts w:ascii="Cambria" w:hAnsi="Cambria"/>
        </w:rPr>
        <w:t>cfp</w:t>
      </w:r>
      <w:proofErr w:type="spellEnd"/>
      <w:r w:rsidR="00A3063F" w:rsidRPr="00A3063F">
        <w:rPr>
          <w:rFonts w:ascii="Cambria" w:hAnsi="Cambria"/>
        </w:rPr>
        <w:t>.</w:t>
      </w:r>
      <w:r>
        <w:rPr>
          <w:rFonts w:ascii="Cambria" w:hAnsi="Cambria"/>
        </w:rPr>
        <w:t xml:space="preserve"> U</w:t>
      </w:r>
      <w:r w:rsidR="00A3063F" w:rsidRPr="00A3063F">
        <w:rPr>
          <w:rFonts w:ascii="Cambria" w:hAnsi="Cambria"/>
        </w:rPr>
        <w:t xml:space="preserve">n arrêté attributif </w:t>
      </w:r>
      <w:r>
        <w:rPr>
          <w:rFonts w:ascii="Cambria" w:hAnsi="Cambria"/>
        </w:rPr>
        <w:t xml:space="preserve">a été établi </w:t>
      </w:r>
      <w:r w:rsidR="00A3063F" w:rsidRPr="00A3063F">
        <w:rPr>
          <w:rFonts w:ascii="Cambria" w:hAnsi="Cambria"/>
        </w:rPr>
        <w:t xml:space="preserve">précisant le montant de la participation du Pays et les modalités de versement de la subvention au CHPF. </w:t>
      </w:r>
    </w:p>
    <w:p w:rsidR="005729FB" w:rsidRPr="00484CF6" w:rsidRDefault="005729FB" w:rsidP="00015FF2">
      <w:pPr>
        <w:pStyle w:val="-LettreTexteGEDA"/>
        <w:ind w:firstLine="0"/>
        <w:rPr>
          <w:rFonts w:ascii="Cambria" w:hAnsi="Cambria"/>
          <w:b/>
        </w:rPr>
      </w:pPr>
    </w:p>
    <w:p w:rsidR="005729FB" w:rsidRPr="00484CF6" w:rsidRDefault="00213C2C" w:rsidP="00015FF2">
      <w:pPr>
        <w:pStyle w:val="-LettreTexteGEDA"/>
        <w:ind w:firstLine="0"/>
        <w:rPr>
          <w:rFonts w:ascii="Cambria" w:hAnsi="Cambria"/>
          <w:b/>
        </w:rPr>
      </w:pPr>
      <w:r w:rsidRPr="00484CF6">
        <w:rPr>
          <w:rFonts w:ascii="Cambria" w:hAnsi="Cambria"/>
          <w:b/>
        </w:rPr>
        <w:t>Bilan des réalisations de l’année 2019 de la direction de l’Equipement</w:t>
      </w:r>
    </w:p>
    <w:p w:rsidR="0075127A" w:rsidRPr="00484CF6" w:rsidRDefault="00484CF6" w:rsidP="00980FCD">
      <w:pPr>
        <w:pStyle w:val="-LettreTexteGEDA"/>
        <w:spacing w:before="240"/>
        <w:ind w:right="-28" w:firstLine="0"/>
        <w:rPr>
          <w:rFonts w:ascii="Cambria" w:hAnsi="Cambria"/>
          <w:noProof w:val="0"/>
        </w:rPr>
      </w:pPr>
      <w:r w:rsidRPr="00484CF6">
        <w:rPr>
          <w:rFonts w:ascii="Cambria" w:hAnsi="Cambria"/>
          <w:noProof w:val="0"/>
        </w:rPr>
        <w:t xml:space="preserve">Le ministre de l’Equipement a présenté au Conseil des ministres le bilan des opérations d’investissement réalisées par la Direction de l’Equipement (DEQ) au titre de l’exercice 2019. En sa qualité de représentant du maître d’ouvrage, la DEQ intervient dans le domaine des </w:t>
      </w:r>
      <w:r w:rsidRPr="00484CF6">
        <w:rPr>
          <w:rFonts w:ascii="Cambria" w:hAnsi="Cambria"/>
          <w:bCs/>
          <w:noProof w:val="0"/>
        </w:rPr>
        <w:t>infrastructures routières, fluviales, aéroportuaires et portuaires</w:t>
      </w:r>
      <w:r w:rsidRPr="00484CF6">
        <w:rPr>
          <w:rFonts w:ascii="Cambria" w:hAnsi="Cambria"/>
          <w:noProof w:val="0"/>
        </w:rPr>
        <w:t>.</w:t>
      </w:r>
      <w:r w:rsidR="00980FCD">
        <w:rPr>
          <w:rFonts w:ascii="Cambria" w:hAnsi="Cambria"/>
          <w:noProof w:val="0"/>
        </w:rPr>
        <w:t xml:space="preserve"> </w:t>
      </w:r>
    </w:p>
    <w:p w:rsidR="00484CF6" w:rsidRPr="00484CF6" w:rsidRDefault="00484CF6" w:rsidP="00484CF6">
      <w:pPr>
        <w:tabs>
          <w:tab w:val="left" w:pos="2268"/>
          <w:tab w:val="left" w:pos="2552"/>
          <w:tab w:val="left" w:pos="2977"/>
          <w:tab w:val="left" w:pos="7080"/>
        </w:tabs>
        <w:spacing w:after="120"/>
        <w:jc w:val="both"/>
        <w:rPr>
          <w:rFonts w:ascii="Cambria" w:hAnsi="Cambria"/>
        </w:rPr>
      </w:pPr>
      <w:r w:rsidRPr="00484CF6">
        <w:rPr>
          <w:rFonts w:ascii="Cambria" w:hAnsi="Cambria"/>
        </w:rPr>
        <w:t xml:space="preserve">En 2019, la DEQ a été dotée </w:t>
      </w:r>
      <w:r w:rsidRPr="00484CF6">
        <w:rPr>
          <w:rFonts w:ascii="Cambria" w:hAnsi="Cambria"/>
          <w:bCs/>
        </w:rPr>
        <w:t xml:space="preserve">d’un budget d’investissement de 16,553 milliards </w:t>
      </w:r>
      <w:proofErr w:type="spellStart"/>
      <w:r w:rsidRPr="00484CF6">
        <w:rPr>
          <w:rFonts w:ascii="Cambria" w:hAnsi="Cambria"/>
          <w:bCs/>
        </w:rPr>
        <w:t>Fcfp</w:t>
      </w:r>
      <w:proofErr w:type="spellEnd"/>
      <w:r w:rsidRPr="00484CF6">
        <w:rPr>
          <w:rFonts w:ascii="Cambria" w:hAnsi="Cambria"/>
        </w:rPr>
        <w:t xml:space="preserve"> de crédits de paiement délégués provenant du budget général. Cette enveloppe budgétaire est en augmentation de 18 % par rapport à celle de l’année 2018 (14,020 milliards </w:t>
      </w:r>
      <w:proofErr w:type="spellStart"/>
      <w:r w:rsidRPr="00484CF6">
        <w:rPr>
          <w:rFonts w:ascii="Cambria" w:hAnsi="Cambria"/>
        </w:rPr>
        <w:t>Fcfp</w:t>
      </w:r>
      <w:proofErr w:type="spellEnd"/>
      <w:r w:rsidRPr="00484CF6">
        <w:rPr>
          <w:rFonts w:ascii="Cambria" w:hAnsi="Cambria"/>
        </w:rPr>
        <w:t xml:space="preserve">). Le montant total des </w:t>
      </w:r>
      <w:r w:rsidRPr="00484CF6">
        <w:rPr>
          <w:rFonts w:ascii="Cambria" w:hAnsi="Cambria"/>
          <w:bCs/>
        </w:rPr>
        <w:t>liquidations</w:t>
      </w:r>
      <w:r w:rsidRPr="00484CF6">
        <w:rPr>
          <w:rFonts w:ascii="Cambria" w:hAnsi="Cambria"/>
        </w:rPr>
        <w:t xml:space="preserve"> comptabilisé à la clôture de l’exercice 2019 est en augmentation de 23 % par rapport au résultat de l’année précédente.</w:t>
      </w:r>
      <w:r>
        <w:rPr>
          <w:rFonts w:ascii="Cambria" w:hAnsi="Cambria"/>
        </w:rPr>
        <w:t xml:space="preserve"> </w:t>
      </w:r>
      <w:r w:rsidRPr="00484CF6">
        <w:rPr>
          <w:rFonts w:ascii="Cambria" w:hAnsi="Cambria"/>
        </w:rPr>
        <w:t>Le nombre de marchés passés a été de 185 en 2019 (contre 119 en 2018), ce qui représente une hausse d’environ 55,5 % par rapport à 2018, avec la répartition suivante : 100 aux îles du Vent, 21 aux îles Sous-le-Vent, 34 aux Tuamotu Gambier, 3 aux Australes et 27 sur les Marquises.</w:t>
      </w:r>
    </w:p>
    <w:p w:rsidR="00484CF6" w:rsidRPr="00484CF6" w:rsidRDefault="00484CF6" w:rsidP="00484CF6">
      <w:pPr>
        <w:pStyle w:val="Retraitcorpsdetexte"/>
        <w:tabs>
          <w:tab w:val="right" w:pos="5103"/>
        </w:tabs>
        <w:ind w:left="0"/>
        <w:jc w:val="both"/>
        <w:rPr>
          <w:rFonts w:ascii="Cambria" w:hAnsi="Cambria"/>
        </w:rPr>
      </w:pPr>
      <w:r w:rsidRPr="00484CF6">
        <w:rPr>
          <w:rFonts w:ascii="Cambria" w:hAnsi="Cambria"/>
        </w:rPr>
        <w:t>Ces opérations portent sur toutes les missions dévolues à la Direction de l’Equipement : infrastructures routières, portuaires, aéroportuaires, bâtiments publics, qu’il s’agisse de constructions neuves ou de réhabilitations. Elles ont été financées par le troisième instrument financier du concours de l’Etat pour les équipements structurants tels que le réseau routier, la défense contre les eaux et les ouvrages portuaires et aéroportuaires, par le fonds de secours Outre-mer (FSOM) pour la réparation des dégâts causés par les intempéries des 21 et 22 janvier 2017 aux infrastructures routières et fluviales et les fonds propres du Pays.</w:t>
      </w:r>
    </w:p>
    <w:p w:rsidR="00484CF6" w:rsidRPr="00484CF6" w:rsidRDefault="00484CF6" w:rsidP="00484CF6">
      <w:pPr>
        <w:spacing w:after="120"/>
        <w:jc w:val="both"/>
        <w:rPr>
          <w:rFonts w:ascii="Cambria" w:hAnsi="Cambria"/>
        </w:rPr>
      </w:pPr>
      <w:r w:rsidRPr="00484CF6">
        <w:rPr>
          <w:rFonts w:ascii="Cambria" w:hAnsi="Cambria"/>
        </w:rPr>
        <w:lastRenderedPageBreak/>
        <w:t xml:space="preserve">Comme chaque année, ce sont les travaux routiers, de protection des berges de rivières et de mise aux normes des infrastructures aéroportuaires (8,090 milliards </w:t>
      </w:r>
      <w:proofErr w:type="spellStart"/>
      <w:r w:rsidRPr="00484CF6">
        <w:rPr>
          <w:rFonts w:ascii="Cambria" w:hAnsi="Cambria"/>
        </w:rPr>
        <w:t>Fcfp</w:t>
      </w:r>
      <w:proofErr w:type="spellEnd"/>
      <w:r w:rsidRPr="00484CF6">
        <w:rPr>
          <w:rFonts w:ascii="Cambria" w:hAnsi="Cambria"/>
        </w:rPr>
        <w:t>) qui représentent la grande partie de la commande publique (79 % en 2019) : rénovation du réseau routier à Tahiti et à Moorea</w:t>
      </w:r>
      <w:r w:rsidR="00980FCD">
        <w:rPr>
          <w:rFonts w:ascii="Cambria" w:hAnsi="Cambria"/>
        </w:rPr>
        <w:t xml:space="preserve"> (carrefour de </w:t>
      </w:r>
      <w:proofErr w:type="spellStart"/>
      <w:r w:rsidR="00980FCD">
        <w:rPr>
          <w:rFonts w:ascii="Cambria" w:hAnsi="Cambria"/>
        </w:rPr>
        <w:t>Tipaerui</w:t>
      </w:r>
      <w:proofErr w:type="spellEnd"/>
      <w:r w:rsidR="00980FCD">
        <w:rPr>
          <w:rFonts w:ascii="Cambria" w:hAnsi="Cambria"/>
        </w:rPr>
        <w:t>)</w:t>
      </w:r>
      <w:r w:rsidRPr="00484CF6">
        <w:rPr>
          <w:rFonts w:ascii="Cambria" w:hAnsi="Cambria"/>
        </w:rPr>
        <w:t>, sécurisation des talus des routes territoriales de Tahiti, mise aux normes des aérodromes aux Tuamotu-Gambier.</w:t>
      </w:r>
    </w:p>
    <w:p w:rsidR="00484CF6" w:rsidRPr="00484CF6" w:rsidRDefault="00484CF6" w:rsidP="00484CF6">
      <w:pPr>
        <w:spacing w:after="120"/>
        <w:jc w:val="both"/>
        <w:rPr>
          <w:rFonts w:ascii="Cambria" w:hAnsi="Cambria"/>
        </w:rPr>
      </w:pPr>
      <w:r w:rsidRPr="00484CF6">
        <w:rPr>
          <w:rFonts w:ascii="Cambria" w:hAnsi="Cambria"/>
        </w:rPr>
        <w:t xml:space="preserve">Les ouvrages maritimes viennent ensuite (avec un total de 1 127 milliards </w:t>
      </w:r>
      <w:proofErr w:type="spellStart"/>
      <w:r w:rsidRPr="00484CF6">
        <w:rPr>
          <w:rFonts w:ascii="Cambria" w:hAnsi="Cambria"/>
        </w:rPr>
        <w:t>Fcfp</w:t>
      </w:r>
      <w:proofErr w:type="spellEnd"/>
      <w:r w:rsidRPr="00484CF6">
        <w:rPr>
          <w:rFonts w:ascii="Cambria" w:hAnsi="Cambria"/>
        </w:rPr>
        <w:t xml:space="preserve">), avec principalement la réfection des débarcadères Nord et Sud de Rimatara aux Australes, l’extension du quai de </w:t>
      </w:r>
      <w:proofErr w:type="spellStart"/>
      <w:r w:rsidRPr="00484CF6">
        <w:rPr>
          <w:rFonts w:ascii="Cambria" w:hAnsi="Cambria"/>
        </w:rPr>
        <w:t>Manihi</w:t>
      </w:r>
      <w:proofErr w:type="spellEnd"/>
      <w:r w:rsidRPr="00484CF6">
        <w:rPr>
          <w:rFonts w:ascii="Cambria" w:hAnsi="Cambria"/>
        </w:rPr>
        <w:t xml:space="preserve">, la réhabilitation du débarcadère de </w:t>
      </w:r>
      <w:proofErr w:type="spellStart"/>
      <w:r w:rsidRPr="00484CF6">
        <w:rPr>
          <w:rFonts w:ascii="Cambria" w:hAnsi="Cambria"/>
        </w:rPr>
        <w:t>Tematangi</w:t>
      </w:r>
      <w:proofErr w:type="spellEnd"/>
      <w:r w:rsidRPr="00484CF6">
        <w:rPr>
          <w:rFonts w:ascii="Cambria" w:hAnsi="Cambria"/>
        </w:rPr>
        <w:t>, la réhabilitation du débarcadère de Makatea et l’entretien et la modernisation des phares et balises en Polynésie.</w:t>
      </w:r>
    </w:p>
    <w:p w:rsidR="00484CF6" w:rsidRPr="00980FCD" w:rsidRDefault="00484CF6" w:rsidP="00980FCD">
      <w:pPr>
        <w:jc w:val="both"/>
        <w:rPr>
          <w:rFonts w:ascii="Cambria" w:hAnsi="Cambria"/>
        </w:rPr>
      </w:pPr>
      <w:r w:rsidRPr="00484CF6">
        <w:rPr>
          <w:rFonts w:ascii="Cambria" w:hAnsi="Cambria"/>
        </w:rPr>
        <w:t xml:space="preserve">Il y a également les constructions publiques (1 024 milliards </w:t>
      </w:r>
      <w:proofErr w:type="spellStart"/>
      <w:r w:rsidRPr="00484CF6">
        <w:rPr>
          <w:rFonts w:ascii="Cambria" w:hAnsi="Cambria"/>
        </w:rPr>
        <w:t>Fcfp</w:t>
      </w:r>
      <w:proofErr w:type="spellEnd"/>
      <w:r w:rsidRPr="00484CF6">
        <w:rPr>
          <w:rFonts w:ascii="Cambria" w:hAnsi="Cambria"/>
        </w:rPr>
        <w:t xml:space="preserve">), avec notamment la continuité de la construction du centre de consultations spécialisées (CSP) de </w:t>
      </w:r>
      <w:proofErr w:type="spellStart"/>
      <w:r w:rsidRPr="00484CF6">
        <w:rPr>
          <w:rFonts w:ascii="Cambria" w:hAnsi="Cambria"/>
        </w:rPr>
        <w:t>Taravao</w:t>
      </w:r>
      <w:proofErr w:type="spellEnd"/>
      <w:r w:rsidRPr="00484CF6">
        <w:rPr>
          <w:rFonts w:ascii="Cambria" w:hAnsi="Cambria"/>
        </w:rPr>
        <w:t xml:space="preserve">, la construction du centre médical et le logement de fonction de </w:t>
      </w:r>
      <w:proofErr w:type="spellStart"/>
      <w:r w:rsidRPr="00484CF6">
        <w:rPr>
          <w:rFonts w:ascii="Cambria" w:hAnsi="Cambria"/>
        </w:rPr>
        <w:t>Hatiheu</w:t>
      </w:r>
      <w:proofErr w:type="spellEnd"/>
      <w:r w:rsidRPr="00484CF6">
        <w:rPr>
          <w:rFonts w:ascii="Cambria" w:hAnsi="Cambria"/>
        </w:rPr>
        <w:t xml:space="preserve">, la construction d’un bloc sanitaire sur le petit quai de </w:t>
      </w:r>
      <w:proofErr w:type="spellStart"/>
      <w:r w:rsidRPr="00484CF6">
        <w:rPr>
          <w:rFonts w:ascii="Cambria" w:hAnsi="Cambria"/>
        </w:rPr>
        <w:t>Taiohae</w:t>
      </w:r>
      <w:proofErr w:type="spellEnd"/>
      <w:r w:rsidRPr="00484CF6">
        <w:rPr>
          <w:rFonts w:ascii="Cambria" w:hAnsi="Cambria"/>
        </w:rPr>
        <w:t xml:space="preserve">, la réfection des toitures terrasses du bâtiment administratif </w:t>
      </w:r>
      <w:proofErr w:type="spellStart"/>
      <w:r w:rsidRPr="00484CF6">
        <w:rPr>
          <w:rFonts w:ascii="Cambria" w:hAnsi="Cambria"/>
        </w:rPr>
        <w:t>Putia’oro</w:t>
      </w:r>
      <w:proofErr w:type="spellEnd"/>
      <w:r w:rsidRPr="00484CF6">
        <w:rPr>
          <w:rFonts w:ascii="Cambria" w:hAnsi="Cambria"/>
        </w:rPr>
        <w:t xml:space="preserve"> et la finalisation d’un concours d’architecture pour la construction du centre administratif A3.</w:t>
      </w:r>
    </w:p>
    <w:p w:rsidR="00213C2C" w:rsidRDefault="00213C2C" w:rsidP="00015FF2">
      <w:pPr>
        <w:pStyle w:val="-LettreTexteGEDA"/>
        <w:ind w:firstLine="0"/>
        <w:rPr>
          <w:rFonts w:asciiTheme="majorHAnsi" w:hAnsiTheme="majorHAnsi"/>
          <w:szCs w:val="24"/>
          <w:lang w:eastAsia="en-US"/>
        </w:rPr>
      </w:pPr>
    </w:p>
    <w:p w:rsidR="008059E4" w:rsidRPr="00DA69B1" w:rsidRDefault="00264EF2" w:rsidP="00DA69B1">
      <w:pPr>
        <w:pStyle w:val="-LettreTexteGEDA"/>
        <w:ind w:firstLine="0"/>
        <w:jc w:val="center"/>
        <w:rPr>
          <w:rFonts w:asciiTheme="majorHAnsi" w:hAnsiTheme="majorHAnsi"/>
          <w:noProof w:val="0"/>
          <w:szCs w:val="24"/>
        </w:rPr>
      </w:pPr>
      <w:r w:rsidRPr="001F2760">
        <w:rPr>
          <w:rFonts w:asciiTheme="majorHAnsi" w:hAnsiTheme="majorHAnsi"/>
          <w:noProof w:val="0"/>
          <w:szCs w:val="24"/>
        </w:rPr>
        <w:t>-o-o-o-o-o-</w:t>
      </w:r>
    </w:p>
    <w:sectPr w:rsidR="008059E4" w:rsidRPr="00DA69B1" w:rsidSect="00922ABB">
      <w:footerReference w:type="even" r:id="rId8"/>
      <w:footerReference w:type="default" r:id="rId9"/>
      <w:pgSz w:w="11906" w:h="16838"/>
      <w:pgMar w:top="1417" w:right="1417" w:bottom="993"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6591" w:rsidRDefault="00266591">
      <w:r>
        <w:separator/>
      </w:r>
    </w:p>
  </w:endnote>
  <w:endnote w:type="continuationSeparator" w:id="0">
    <w:p w:rsidR="00266591" w:rsidRDefault="002665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rinda">
    <w:panose1 w:val="00000400000000000000"/>
    <w:charset w:val="01"/>
    <w:family w:val="roman"/>
    <w:notTrueType/>
    <w:pitch w:val="variable"/>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entury Schoolbook">
    <w:panose1 w:val="02040604050505020304"/>
    <w:charset w:val="00"/>
    <w:family w:val="roman"/>
    <w:pitch w:val="variable"/>
    <w:sig w:usb0="00000287" w:usb1="00000000" w:usb2="00000000" w:usb3="00000000" w:csb0="0000009F" w:csb1="00000000"/>
  </w:font>
  <w:font w:name="Agency FB">
    <w:panose1 w:val="020B0503020202020204"/>
    <w:charset w:val="00"/>
    <w:family w:val="swiss"/>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Edwardian Script ITC">
    <w:panose1 w:val="030303020407070D08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5657" w:rsidRDefault="00825657" w:rsidP="00922ABB">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rsidR="00825657" w:rsidRDefault="00266591" w:rsidP="00922ABB">
    <w:pPr>
      <w:pStyle w:val="Pieddepage"/>
      <w:ind w:right="360"/>
    </w:pPr>
    <w:sdt>
      <w:sdtPr>
        <w:id w:val="969400743"/>
        <w:temporary/>
        <w:showingPlcHdr/>
      </w:sdtPr>
      <w:sdtEndPr/>
      <w:sdtContent>
        <w:r w:rsidR="00825657">
          <w:t>[Tapez le texte]</w:t>
        </w:r>
      </w:sdtContent>
    </w:sdt>
    <w:r w:rsidR="00825657">
      <w:ptab w:relativeTo="margin" w:alignment="center" w:leader="none"/>
    </w:r>
    <w:sdt>
      <w:sdtPr>
        <w:id w:val="969400748"/>
        <w:temporary/>
        <w:showingPlcHdr/>
      </w:sdtPr>
      <w:sdtEndPr/>
      <w:sdtContent>
        <w:r w:rsidR="00825657">
          <w:t>[Tapez le texte]</w:t>
        </w:r>
      </w:sdtContent>
    </w:sdt>
    <w:r w:rsidR="00825657">
      <w:ptab w:relativeTo="margin" w:alignment="right" w:leader="none"/>
    </w:r>
    <w:sdt>
      <w:sdtPr>
        <w:id w:val="969400753"/>
        <w:temporary/>
        <w:showingPlcHdr/>
      </w:sdtPr>
      <w:sdtEndPr/>
      <w:sdtContent>
        <w:r w:rsidR="00825657">
          <w:t>[Tapez le texte]</w:t>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5657" w:rsidRPr="00BA209E" w:rsidRDefault="00825657" w:rsidP="00922ABB">
    <w:pPr>
      <w:pStyle w:val="Pieddepage"/>
      <w:jc w:val="center"/>
      <w:rPr>
        <w:i/>
        <w:sz w:val="20"/>
        <w:szCs w:val="20"/>
      </w:rPr>
    </w:pPr>
    <w:r w:rsidRPr="00BA209E">
      <w:rPr>
        <w:i/>
        <w:sz w:val="20"/>
        <w:szCs w:val="20"/>
      </w:rPr>
      <w:t>Présidence de la Polynésie Française</w:t>
    </w:r>
  </w:p>
  <w:p w:rsidR="00825657" w:rsidRPr="00BA209E" w:rsidRDefault="00825657" w:rsidP="00922ABB">
    <w:pPr>
      <w:pStyle w:val="Pieddepage"/>
      <w:jc w:val="center"/>
      <w:rPr>
        <w:i/>
        <w:sz w:val="20"/>
        <w:szCs w:val="20"/>
      </w:rPr>
    </w:pPr>
    <w:r w:rsidRPr="00BA209E">
      <w:rPr>
        <w:i/>
        <w:sz w:val="20"/>
        <w:szCs w:val="20"/>
      </w:rPr>
      <w:t xml:space="preserve">Service </w:t>
    </w:r>
    <w:r>
      <w:rPr>
        <w:i/>
        <w:sz w:val="20"/>
        <w:szCs w:val="20"/>
      </w:rPr>
      <w:t>de la communication</w:t>
    </w:r>
  </w:p>
  <w:p w:rsidR="00825657" w:rsidRPr="00BA209E" w:rsidRDefault="00266591" w:rsidP="00922ABB">
    <w:pPr>
      <w:pStyle w:val="Pieddepage"/>
      <w:jc w:val="center"/>
      <w:rPr>
        <w:sz w:val="20"/>
        <w:szCs w:val="20"/>
      </w:rPr>
    </w:pPr>
    <w:hyperlink r:id="rId1" w:history="1">
      <w:r w:rsidR="00825657" w:rsidRPr="00E264FC">
        <w:rPr>
          <w:rStyle w:val="Lienhypertexte"/>
          <w:sz w:val="20"/>
        </w:rPr>
        <w:t>communication@presidence.pf</w:t>
      </w:r>
    </w:hyperlink>
    <w:r w:rsidR="00825657" w:rsidRPr="00BA209E">
      <w:rPr>
        <w:sz w:val="20"/>
        <w:szCs w:val="20"/>
      </w:rPr>
      <w:t xml:space="preserve"> – </w:t>
    </w:r>
    <w:r w:rsidR="00825657">
      <w:rPr>
        <w:sz w:val="20"/>
        <w:szCs w:val="20"/>
      </w:rPr>
      <w:t xml:space="preserve">40 </w:t>
    </w:r>
    <w:r w:rsidR="00825657" w:rsidRPr="00BA209E">
      <w:rPr>
        <w:sz w:val="20"/>
        <w:szCs w:val="20"/>
      </w:rPr>
      <w:t>47 20 00</w:t>
    </w:r>
  </w:p>
  <w:p w:rsidR="00825657" w:rsidRDefault="00825657">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6591" w:rsidRDefault="00266591">
      <w:r>
        <w:separator/>
      </w:r>
    </w:p>
  </w:footnote>
  <w:footnote w:type="continuationSeparator" w:id="0">
    <w:p w:rsidR="00266591" w:rsidRDefault="0026659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291E8D"/>
    <w:multiLevelType w:val="hybridMultilevel"/>
    <w:tmpl w:val="5C409510"/>
    <w:lvl w:ilvl="0" w:tplc="61D20AC8">
      <w:numFmt w:val="bullet"/>
      <w:lvlText w:val="-"/>
      <w:lvlJc w:val="left"/>
      <w:pPr>
        <w:ind w:left="720" w:hanging="360"/>
      </w:pPr>
      <w:rPr>
        <w:rFonts w:ascii="Vrinda" w:eastAsia="Times New Roman" w:hAnsi="Vrind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3E046C9"/>
    <w:multiLevelType w:val="hybridMultilevel"/>
    <w:tmpl w:val="AF1C5AD2"/>
    <w:lvl w:ilvl="0" w:tplc="5CCC50BC">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54F6A4A"/>
    <w:multiLevelType w:val="hybridMultilevel"/>
    <w:tmpl w:val="B1CA36B0"/>
    <w:lvl w:ilvl="0" w:tplc="1BEA3122">
      <w:start w:val="1"/>
      <w:numFmt w:val="decimal"/>
      <w:lvlText w:val="%1-"/>
      <w:lvlJc w:val="left"/>
      <w:pPr>
        <w:ind w:left="405" w:hanging="360"/>
      </w:pPr>
      <w:rPr>
        <w:rFonts w:hint="default"/>
      </w:rPr>
    </w:lvl>
    <w:lvl w:ilvl="1" w:tplc="822AFBD4">
      <w:numFmt w:val="bullet"/>
      <w:lvlText w:val="-"/>
      <w:lvlJc w:val="left"/>
      <w:pPr>
        <w:ind w:left="1125" w:hanging="360"/>
      </w:pPr>
      <w:rPr>
        <w:rFonts w:ascii="Times New Roman" w:eastAsia="Times New Roman" w:hAnsi="Times New Roman" w:cs="Times New Roman" w:hint="default"/>
      </w:rPr>
    </w:lvl>
    <w:lvl w:ilvl="2" w:tplc="040C001B" w:tentative="1">
      <w:start w:val="1"/>
      <w:numFmt w:val="lowerRoman"/>
      <w:lvlText w:val="%3."/>
      <w:lvlJc w:val="right"/>
      <w:pPr>
        <w:ind w:left="1845" w:hanging="180"/>
      </w:pPr>
    </w:lvl>
    <w:lvl w:ilvl="3" w:tplc="040C000F" w:tentative="1">
      <w:start w:val="1"/>
      <w:numFmt w:val="decimal"/>
      <w:lvlText w:val="%4."/>
      <w:lvlJc w:val="left"/>
      <w:pPr>
        <w:ind w:left="2565" w:hanging="360"/>
      </w:pPr>
    </w:lvl>
    <w:lvl w:ilvl="4" w:tplc="040C0019" w:tentative="1">
      <w:start w:val="1"/>
      <w:numFmt w:val="lowerLetter"/>
      <w:lvlText w:val="%5."/>
      <w:lvlJc w:val="left"/>
      <w:pPr>
        <w:ind w:left="3285" w:hanging="360"/>
      </w:pPr>
    </w:lvl>
    <w:lvl w:ilvl="5" w:tplc="040C001B" w:tentative="1">
      <w:start w:val="1"/>
      <w:numFmt w:val="lowerRoman"/>
      <w:lvlText w:val="%6."/>
      <w:lvlJc w:val="right"/>
      <w:pPr>
        <w:ind w:left="4005" w:hanging="180"/>
      </w:pPr>
    </w:lvl>
    <w:lvl w:ilvl="6" w:tplc="040C000F" w:tentative="1">
      <w:start w:val="1"/>
      <w:numFmt w:val="decimal"/>
      <w:lvlText w:val="%7."/>
      <w:lvlJc w:val="left"/>
      <w:pPr>
        <w:ind w:left="4725" w:hanging="360"/>
      </w:pPr>
    </w:lvl>
    <w:lvl w:ilvl="7" w:tplc="040C0019" w:tentative="1">
      <w:start w:val="1"/>
      <w:numFmt w:val="lowerLetter"/>
      <w:lvlText w:val="%8."/>
      <w:lvlJc w:val="left"/>
      <w:pPr>
        <w:ind w:left="5445" w:hanging="360"/>
      </w:pPr>
    </w:lvl>
    <w:lvl w:ilvl="8" w:tplc="040C001B" w:tentative="1">
      <w:start w:val="1"/>
      <w:numFmt w:val="lowerRoman"/>
      <w:lvlText w:val="%9."/>
      <w:lvlJc w:val="right"/>
      <w:pPr>
        <w:ind w:left="6165" w:hanging="180"/>
      </w:pPr>
    </w:lvl>
  </w:abstractNum>
  <w:abstractNum w:abstractNumId="3">
    <w:nsid w:val="05826EDA"/>
    <w:multiLevelType w:val="hybridMultilevel"/>
    <w:tmpl w:val="3F48164C"/>
    <w:lvl w:ilvl="0" w:tplc="3E2C9A9A">
      <w:start w:val="16"/>
      <w:numFmt w:val="bullet"/>
      <w:lvlText w:val="-"/>
      <w:lvlJc w:val="left"/>
      <w:pPr>
        <w:ind w:left="1211" w:hanging="360"/>
      </w:pPr>
      <w:rPr>
        <w:rFonts w:ascii="Times New Roman" w:eastAsia="Times New Roman" w:hAnsi="Times New Roman" w:cs="Times New Roman" w:hint="default"/>
      </w:rPr>
    </w:lvl>
    <w:lvl w:ilvl="1" w:tplc="040C0003" w:tentative="1">
      <w:start w:val="1"/>
      <w:numFmt w:val="bullet"/>
      <w:lvlText w:val="o"/>
      <w:lvlJc w:val="left"/>
      <w:pPr>
        <w:ind w:left="1931" w:hanging="360"/>
      </w:pPr>
      <w:rPr>
        <w:rFonts w:ascii="Courier New" w:hAnsi="Courier New" w:cs="Courier New" w:hint="default"/>
      </w:rPr>
    </w:lvl>
    <w:lvl w:ilvl="2" w:tplc="040C0005" w:tentative="1">
      <w:start w:val="1"/>
      <w:numFmt w:val="bullet"/>
      <w:lvlText w:val=""/>
      <w:lvlJc w:val="left"/>
      <w:pPr>
        <w:ind w:left="2651" w:hanging="360"/>
      </w:pPr>
      <w:rPr>
        <w:rFonts w:ascii="Wingdings" w:hAnsi="Wingdings" w:hint="default"/>
      </w:rPr>
    </w:lvl>
    <w:lvl w:ilvl="3" w:tplc="040C0001" w:tentative="1">
      <w:start w:val="1"/>
      <w:numFmt w:val="bullet"/>
      <w:lvlText w:val=""/>
      <w:lvlJc w:val="left"/>
      <w:pPr>
        <w:ind w:left="3371" w:hanging="360"/>
      </w:pPr>
      <w:rPr>
        <w:rFonts w:ascii="Symbol" w:hAnsi="Symbol" w:hint="default"/>
      </w:rPr>
    </w:lvl>
    <w:lvl w:ilvl="4" w:tplc="040C0003" w:tentative="1">
      <w:start w:val="1"/>
      <w:numFmt w:val="bullet"/>
      <w:lvlText w:val="o"/>
      <w:lvlJc w:val="left"/>
      <w:pPr>
        <w:ind w:left="4091" w:hanging="360"/>
      </w:pPr>
      <w:rPr>
        <w:rFonts w:ascii="Courier New" w:hAnsi="Courier New" w:cs="Courier New" w:hint="default"/>
      </w:rPr>
    </w:lvl>
    <w:lvl w:ilvl="5" w:tplc="040C0005" w:tentative="1">
      <w:start w:val="1"/>
      <w:numFmt w:val="bullet"/>
      <w:lvlText w:val=""/>
      <w:lvlJc w:val="left"/>
      <w:pPr>
        <w:ind w:left="4811" w:hanging="360"/>
      </w:pPr>
      <w:rPr>
        <w:rFonts w:ascii="Wingdings" w:hAnsi="Wingdings" w:hint="default"/>
      </w:rPr>
    </w:lvl>
    <w:lvl w:ilvl="6" w:tplc="040C0001" w:tentative="1">
      <w:start w:val="1"/>
      <w:numFmt w:val="bullet"/>
      <w:lvlText w:val=""/>
      <w:lvlJc w:val="left"/>
      <w:pPr>
        <w:ind w:left="5531" w:hanging="360"/>
      </w:pPr>
      <w:rPr>
        <w:rFonts w:ascii="Symbol" w:hAnsi="Symbol" w:hint="default"/>
      </w:rPr>
    </w:lvl>
    <w:lvl w:ilvl="7" w:tplc="040C0003" w:tentative="1">
      <w:start w:val="1"/>
      <w:numFmt w:val="bullet"/>
      <w:lvlText w:val="o"/>
      <w:lvlJc w:val="left"/>
      <w:pPr>
        <w:ind w:left="6251" w:hanging="360"/>
      </w:pPr>
      <w:rPr>
        <w:rFonts w:ascii="Courier New" w:hAnsi="Courier New" w:cs="Courier New" w:hint="default"/>
      </w:rPr>
    </w:lvl>
    <w:lvl w:ilvl="8" w:tplc="040C0005" w:tentative="1">
      <w:start w:val="1"/>
      <w:numFmt w:val="bullet"/>
      <w:lvlText w:val=""/>
      <w:lvlJc w:val="left"/>
      <w:pPr>
        <w:ind w:left="6971" w:hanging="360"/>
      </w:pPr>
      <w:rPr>
        <w:rFonts w:ascii="Wingdings" w:hAnsi="Wingdings" w:hint="default"/>
      </w:rPr>
    </w:lvl>
  </w:abstractNum>
  <w:abstractNum w:abstractNumId="4">
    <w:nsid w:val="113F5F9C"/>
    <w:multiLevelType w:val="hybridMultilevel"/>
    <w:tmpl w:val="563459F6"/>
    <w:lvl w:ilvl="0" w:tplc="D5A48CC2">
      <w:numFmt w:val="bullet"/>
      <w:lvlText w:val="-"/>
      <w:lvlJc w:val="left"/>
      <w:pPr>
        <w:ind w:left="1256" w:hanging="360"/>
      </w:pPr>
      <w:rPr>
        <w:rFonts w:ascii="Times New Roman" w:eastAsia="Times New Roman" w:hAnsi="Times New Roman" w:cs="Times New Roman" w:hint="default"/>
      </w:rPr>
    </w:lvl>
    <w:lvl w:ilvl="1" w:tplc="040C0003" w:tentative="1">
      <w:start w:val="1"/>
      <w:numFmt w:val="bullet"/>
      <w:lvlText w:val="o"/>
      <w:lvlJc w:val="left"/>
      <w:pPr>
        <w:ind w:left="1976" w:hanging="360"/>
      </w:pPr>
      <w:rPr>
        <w:rFonts w:ascii="Courier New" w:hAnsi="Courier New" w:cs="Courier New" w:hint="default"/>
      </w:rPr>
    </w:lvl>
    <w:lvl w:ilvl="2" w:tplc="040C0005" w:tentative="1">
      <w:start w:val="1"/>
      <w:numFmt w:val="bullet"/>
      <w:lvlText w:val=""/>
      <w:lvlJc w:val="left"/>
      <w:pPr>
        <w:ind w:left="2696" w:hanging="360"/>
      </w:pPr>
      <w:rPr>
        <w:rFonts w:ascii="Wingdings" w:hAnsi="Wingdings" w:hint="default"/>
      </w:rPr>
    </w:lvl>
    <w:lvl w:ilvl="3" w:tplc="040C0001" w:tentative="1">
      <w:start w:val="1"/>
      <w:numFmt w:val="bullet"/>
      <w:lvlText w:val=""/>
      <w:lvlJc w:val="left"/>
      <w:pPr>
        <w:ind w:left="3416" w:hanging="360"/>
      </w:pPr>
      <w:rPr>
        <w:rFonts w:ascii="Symbol" w:hAnsi="Symbol" w:hint="default"/>
      </w:rPr>
    </w:lvl>
    <w:lvl w:ilvl="4" w:tplc="040C0003" w:tentative="1">
      <w:start w:val="1"/>
      <w:numFmt w:val="bullet"/>
      <w:lvlText w:val="o"/>
      <w:lvlJc w:val="left"/>
      <w:pPr>
        <w:ind w:left="4136" w:hanging="360"/>
      </w:pPr>
      <w:rPr>
        <w:rFonts w:ascii="Courier New" w:hAnsi="Courier New" w:cs="Courier New" w:hint="default"/>
      </w:rPr>
    </w:lvl>
    <w:lvl w:ilvl="5" w:tplc="040C0005" w:tentative="1">
      <w:start w:val="1"/>
      <w:numFmt w:val="bullet"/>
      <w:lvlText w:val=""/>
      <w:lvlJc w:val="left"/>
      <w:pPr>
        <w:ind w:left="4856" w:hanging="360"/>
      </w:pPr>
      <w:rPr>
        <w:rFonts w:ascii="Wingdings" w:hAnsi="Wingdings" w:hint="default"/>
      </w:rPr>
    </w:lvl>
    <w:lvl w:ilvl="6" w:tplc="040C0001" w:tentative="1">
      <w:start w:val="1"/>
      <w:numFmt w:val="bullet"/>
      <w:lvlText w:val=""/>
      <w:lvlJc w:val="left"/>
      <w:pPr>
        <w:ind w:left="5576" w:hanging="360"/>
      </w:pPr>
      <w:rPr>
        <w:rFonts w:ascii="Symbol" w:hAnsi="Symbol" w:hint="default"/>
      </w:rPr>
    </w:lvl>
    <w:lvl w:ilvl="7" w:tplc="040C0003" w:tentative="1">
      <w:start w:val="1"/>
      <w:numFmt w:val="bullet"/>
      <w:lvlText w:val="o"/>
      <w:lvlJc w:val="left"/>
      <w:pPr>
        <w:ind w:left="6296" w:hanging="360"/>
      </w:pPr>
      <w:rPr>
        <w:rFonts w:ascii="Courier New" w:hAnsi="Courier New" w:cs="Courier New" w:hint="default"/>
      </w:rPr>
    </w:lvl>
    <w:lvl w:ilvl="8" w:tplc="040C0005" w:tentative="1">
      <w:start w:val="1"/>
      <w:numFmt w:val="bullet"/>
      <w:lvlText w:val=""/>
      <w:lvlJc w:val="left"/>
      <w:pPr>
        <w:ind w:left="7016" w:hanging="360"/>
      </w:pPr>
      <w:rPr>
        <w:rFonts w:ascii="Wingdings" w:hAnsi="Wingdings" w:hint="default"/>
      </w:rPr>
    </w:lvl>
  </w:abstractNum>
  <w:abstractNum w:abstractNumId="5">
    <w:nsid w:val="1B5B2D20"/>
    <w:multiLevelType w:val="hybridMultilevel"/>
    <w:tmpl w:val="B0B0EAEE"/>
    <w:lvl w:ilvl="0" w:tplc="E30CCA76">
      <w:numFmt w:val="bullet"/>
      <w:lvlText w:val="-"/>
      <w:lvlJc w:val="left"/>
      <w:pPr>
        <w:ind w:left="1211" w:hanging="360"/>
      </w:pPr>
      <w:rPr>
        <w:rFonts w:ascii="Times New Roman" w:eastAsia="Times New Roman" w:hAnsi="Times New Roman" w:cs="Times New Roman" w:hint="default"/>
      </w:rPr>
    </w:lvl>
    <w:lvl w:ilvl="1" w:tplc="040C0003" w:tentative="1">
      <w:start w:val="1"/>
      <w:numFmt w:val="bullet"/>
      <w:lvlText w:val="o"/>
      <w:lvlJc w:val="left"/>
      <w:pPr>
        <w:ind w:left="1931" w:hanging="360"/>
      </w:pPr>
      <w:rPr>
        <w:rFonts w:ascii="Courier New" w:hAnsi="Courier New" w:cs="Courier New" w:hint="default"/>
      </w:rPr>
    </w:lvl>
    <w:lvl w:ilvl="2" w:tplc="040C0005" w:tentative="1">
      <w:start w:val="1"/>
      <w:numFmt w:val="bullet"/>
      <w:lvlText w:val=""/>
      <w:lvlJc w:val="left"/>
      <w:pPr>
        <w:ind w:left="2651" w:hanging="360"/>
      </w:pPr>
      <w:rPr>
        <w:rFonts w:ascii="Wingdings" w:hAnsi="Wingdings" w:hint="default"/>
      </w:rPr>
    </w:lvl>
    <w:lvl w:ilvl="3" w:tplc="040C0001" w:tentative="1">
      <w:start w:val="1"/>
      <w:numFmt w:val="bullet"/>
      <w:lvlText w:val=""/>
      <w:lvlJc w:val="left"/>
      <w:pPr>
        <w:ind w:left="3371" w:hanging="360"/>
      </w:pPr>
      <w:rPr>
        <w:rFonts w:ascii="Symbol" w:hAnsi="Symbol" w:hint="default"/>
      </w:rPr>
    </w:lvl>
    <w:lvl w:ilvl="4" w:tplc="040C0003" w:tentative="1">
      <w:start w:val="1"/>
      <w:numFmt w:val="bullet"/>
      <w:lvlText w:val="o"/>
      <w:lvlJc w:val="left"/>
      <w:pPr>
        <w:ind w:left="4091" w:hanging="360"/>
      </w:pPr>
      <w:rPr>
        <w:rFonts w:ascii="Courier New" w:hAnsi="Courier New" w:cs="Courier New" w:hint="default"/>
      </w:rPr>
    </w:lvl>
    <w:lvl w:ilvl="5" w:tplc="040C0005" w:tentative="1">
      <w:start w:val="1"/>
      <w:numFmt w:val="bullet"/>
      <w:lvlText w:val=""/>
      <w:lvlJc w:val="left"/>
      <w:pPr>
        <w:ind w:left="4811" w:hanging="360"/>
      </w:pPr>
      <w:rPr>
        <w:rFonts w:ascii="Wingdings" w:hAnsi="Wingdings" w:hint="default"/>
      </w:rPr>
    </w:lvl>
    <w:lvl w:ilvl="6" w:tplc="040C0001" w:tentative="1">
      <w:start w:val="1"/>
      <w:numFmt w:val="bullet"/>
      <w:lvlText w:val=""/>
      <w:lvlJc w:val="left"/>
      <w:pPr>
        <w:ind w:left="5531" w:hanging="360"/>
      </w:pPr>
      <w:rPr>
        <w:rFonts w:ascii="Symbol" w:hAnsi="Symbol" w:hint="default"/>
      </w:rPr>
    </w:lvl>
    <w:lvl w:ilvl="7" w:tplc="040C0003" w:tentative="1">
      <w:start w:val="1"/>
      <w:numFmt w:val="bullet"/>
      <w:lvlText w:val="o"/>
      <w:lvlJc w:val="left"/>
      <w:pPr>
        <w:ind w:left="6251" w:hanging="360"/>
      </w:pPr>
      <w:rPr>
        <w:rFonts w:ascii="Courier New" w:hAnsi="Courier New" w:cs="Courier New" w:hint="default"/>
      </w:rPr>
    </w:lvl>
    <w:lvl w:ilvl="8" w:tplc="040C0005" w:tentative="1">
      <w:start w:val="1"/>
      <w:numFmt w:val="bullet"/>
      <w:lvlText w:val=""/>
      <w:lvlJc w:val="left"/>
      <w:pPr>
        <w:ind w:left="6971" w:hanging="360"/>
      </w:pPr>
      <w:rPr>
        <w:rFonts w:ascii="Wingdings" w:hAnsi="Wingdings" w:hint="default"/>
      </w:rPr>
    </w:lvl>
  </w:abstractNum>
  <w:abstractNum w:abstractNumId="6">
    <w:nsid w:val="251C65EF"/>
    <w:multiLevelType w:val="hybridMultilevel"/>
    <w:tmpl w:val="F0768BC4"/>
    <w:lvl w:ilvl="0" w:tplc="0C1E4B02">
      <w:numFmt w:val="bullet"/>
      <w:lvlText w:val="-"/>
      <w:lvlJc w:val="left"/>
      <w:pPr>
        <w:ind w:left="720" w:hanging="360"/>
      </w:pPr>
      <w:rPr>
        <w:rFonts w:ascii="Calibri" w:eastAsia="Calibri" w:hAnsi="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7">
    <w:nsid w:val="2A9846B4"/>
    <w:multiLevelType w:val="hybridMultilevel"/>
    <w:tmpl w:val="3F726B54"/>
    <w:lvl w:ilvl="0" w:tplc="D3ECA548">
      <w:start w:val="3"/>
      <w:numFmt w:val="bullet"/>
      <w:lvlText w:val="-"/>
      <w:lvlJc w:val="left"/>
      <w:pPr>
        <w:ind w:left="720" w:hanging="360"/>
      </w:pPr>
      <w:rPr>
        <w:rFonts w:ascii="Arial" w:eastAsia="Times New Roman"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2AFF359E"/>
    <w:multiLevelType w:val="hybridMultilevel"/>
    <w:tmpl w:val="6EB22982"/>
    <w:lvl w:ilvl="0" w:tplc="9398D5DE">
      <w:start w:val="1"/>
      <w:numFmt w:val="bullet"/>
      <w:lvlText w:val=""/>
      <w:lvlJc w:val="left"/>
      <w:pPr>
        <w:ind w:left="1211" w:hanging="360"/>
      </w:pPr>
      <w:rPr>
        <w:rFonts w:ascii="Symbol" w:hAnsi="Symbol" w:hint="default"/>
      </w:rPr>
    </w:lvl>
    <w:lvl w:ilvl="1" w:tplc="9398D5DE">
      <w:start w:val="1"/>
      <w:numFmt w:val="bullet"/>
      <w:lvlText w:val=""/>
      <w:lvlJc w:val="left"/>
      <w:pPr>
        <w:ind w:left="1080" w:hanging="360"/>
      </w:pPr>
      <w:rPr>
        <w:rFonts w:ascii="Symbol" w:hAnsi="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9">
    <w:nsid w:val="2C160764"/>
    <w:multiLevelType w:val="hybridMultilevel"/>
    <w:tmpl w:val="75583AB6"/>
    <w:lvl w:ilvl="0" w:tplc="DD20AF60">
      <w:start w:val="16"/>
      <w:numFmt w:val="bullet"/>
      <w:lvlText w:val="-"/>
      <w:lvlJc w:val="left"/>
      <w:pPr>
        <w:ind w:left="1211" w:hanging="360"/>
      </w:pPr>
      <w:rPr>
        <w:rFonts w:ascii="Times New Roman" w:eastAsia="Times New Roman" w:hAnsi="Times New Roman" w:cs="Times New Roman" w:hint="default"/>
      </w:rPr>
    </w:lvl>
    <w:lvl w:ilvl="1" w:tplc="040C0003" w:tentative="1">
      <w:start w:val="1"/>
      <w:numFmt w:val="bullet"/>
      <w:lvlText w:val="o"/>
      <w:lvlJc w:val="left"/>
      <w:pPr>
        <w:ind w:left="1931" w:hanging="360"/>
      </w:pPr>
      <w:rPr>
        <w:rFonts w:ascii="Courier New" w:hAnsi="Courier New" w:cs="Courier New" w:hint="default"/>
      </w:rPr>
    </w:lvl>
    <w:lvl w:ilvl="2" w:tplc="040C0005" w:tentative="1">
      <w:start w:val="1"/>
      <w:numFmt w:val="bullet"/>
      <w:lvlText w:val=""/>
      <w:lvlJc w:val="left"/>
      <w:pPr>
        <w:ind w:left="2651" w:hanging="360"/>
      </w:pPr>
      <w:rPr>
        <w:rFonts w:ascii="Wingdings" w:hAnsi="Wingdings" w:hint="default"/>
      </w:rPr>
    </w:lvl>
    <w:lvl w:ilvl="3" w:tplc="040C0001" w:tentative="1">
      <w:start w:val="1"/>
      <w:numFmt w:val="bullet"/>
      <w:lvlText w:val=""/>
      <w:lvlJc w:val="left"/>
      <w:pPr>
        <w:ind w:left="3371" w:hanging="360"/>
      </w:pPr>
      <w:rPr>
        <w:rFonts w:ascii="Symbol" w:hAnsi="Symbol" w:hint="default"/>
      </w:rPr>
    </w:lvl>
    <w:lvl w:ilvl="4" w:tplc="040C0003" w:tentative="1">
      <w:start w:val="1"/>
      <w:numFmt w:val="bullet"/>
      <w:lvlText w:val="o"/>
      <w:lvlJc w:val="left"/>
      <w:pPr>
        <w:ind w:left="4091" w:hanging="360"/>
      </w:pPr>
      <w:rPr>
        <w:rFonts w:ascii="Courier New" w:hAnsi="Courier New" w:cs="Courier New" w:hint="default"/>
      </w:rPr>
    </w:lvl>
    <w:lvl w:ilvl="5" w:tplc="040C0005" w:tentative="1">
      <w:start w:val="1"/>
      <w:numFmt w:val="bullet"/>
      <w:lvlText w:val=""/>
      <w:lvlJc w:val="left"/>
      <w:pPr>
        <w:ind w:left="4811" w:hanging="360"/>
      </w:pPr>
      <w:rPr>
        <w:rFonts w:ascii="Wingdings" w:hAnsi="Wingdings" w:hint="default"/>
      </w:rPr>
    </w:lvl>
    <w:lvl w:ilvl="6" w:tplc="040C0001" w:tentative="1">
      <w:start w:val="1"/>
      <w:numFmt w:val="bullet"/>
      <w:lvlText w:val=""/>
      <w:lvlJc w:val="left"/>
      <w:pPr>
        <w:ind w:left="5531" w:hanging="360"/>
      </w:pPr>
      <w:rPr>
        <w:rFonts w:ascii="Symbol" w:hAnsi="Symbol" w:hint="default"/>
      </w:rPr>
    </w:lvl>
    <w:lvl w:ilvl="7" w:tplc="040C0003" w:tentative="1">
      <w:start w:val="1"/>
      <w:numFmt w:val="bullet"/>
      <w:lvlText w:val="o"/>
      <w:lvlJc w:val="left"/>
      <w:pPr>
        <w:ind w:left="6251" w:hanging="360"/>
      </w:pPr>
      <w:rPr>
        <w:rFonts w:ascii="Courier New" w:hAnsi="Courier New" w:cs="Courier New" w:hint="default"/>
      </w:rPr>
    </w:lvl>
    <w:lvl w:ilvl="8" w:tplc="040C0005" w:tentative="1">
      <w:start w:val="1"/>
      <w:numFmt w:val="bullet"/>
      <w:lvlText w:val=""/>
      <w:lvlJc w:val="left"/>
      <w:pPr>
        <w:ind w:left="6971" w:hanging="360"/>
      </w:pPr>
      <w:rPr>
        <w:rFonts w:ascii="Wingdings" w:hAnsi="Wingdings" w:hint="default"/>
      </w:rPr>
    </w:lvl>
  </w:abstractNum>
  <w:abstractNum w:abstractNumId="10">
    <w:nsid w:val="3218086C"/>
    <w:multiLevelType w:val="hybridMultilevel"/>
    <w:tmpl w:val="7FF204E6"/>
    <w:lvl w:ilvl="0" w:tplc="DFE865B2">
      <w:start w:val="1"/>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35A12CC1"/>
    <w:multiLevelType w:val="hybridMultilevel"/>
    <w:tmpl w:val="CD805D7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380008DF"/>
    <w:multiLevelType w:val="hybridMultilevel"/>
    <w:tmpl w:val="0C56B7F6"/>
    <w:lvl w:ilvl="0" w:tplc="5CCC50BC">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3FF3178B"/>
    <w:multiLevelType w:val="singleLevel"/>
    <w:tmpl w:val="305E1772"/>
    <w:lvl w:ilvl="0">
      <w:start w:val="1"/>
      <w:numFmt w:val="none"/>
      <w:pStyle w:val="-ActeAttenduVuGEDA"/>
      <w:lvlText w:val="Vu"/>
      <w:legacy w:legacy="1" w:legacySpace="0" w:legacyIndent="340"/>
      <w:lvlJc w:val="left"/>
      <w:pPr>
        <w:ind w:left="340" w:hanging="340"/>
      </w:pPr>
      <w:rPr>
        <w:sz w:val="20"/>
      </w:rPr>
    </w:lvl>
  </w:abstractNum>
  <w:abstractNum w:abstractNumId="14">
    <w:nsid w:val="40FA6A10"/>
    <w:multiLevelType w:val="singleLevel"/>
    <w:tmpl w:val="5112A9CA"/>
    <w:lvl w:ilvl="0">
      <w:start w:val="1"/>
      <w:numFmt w:val="none"/>
      <w:pStyle w:val="Titre8"/>
      <w:lvlText w:val="P.J. : "/>
      <w:legacy w:legacy="1" w:legacySpace="0" w:legacyIndent="851"/>
      <w:lvlJc w:val="left"/>
      <w:pPr>
        <w:ind w:left="851" w:hanging="851"/>
      </w:pPr>
      <w:rPr>
        <w:b/>
        <w:i w:val="0"/>
        <w:sz w:val="24"/>
        <w:u w:val="single"/>
      </w:rPr>
    </w:lvl>
  </w:abstractNum>
  <w:abstractNum w:abstractNumId="15">
    <w:nsid w:val="43235253"/>
    <w:multiLevelType w:val="hybridMultilevel"/>
    <w:tmpl w:val="DF0ED72C"/>
    <w:lvl w:ilvl="0" w:tplc="5328A524">
      <w:start w:val="16"/>
      <w:numFmt w:val="bullet"/>
      <w:lvlText w:val="-"/>
      <w:lvlJc w:val="left"/>
      <w:pPr>
        <w:ind w:left="1211" w:hanging="360"/>
      </w:pPr>
      <w:rPr>
        <w:rFonts w:ascii="Times New Roman" w:eastAsia="Times New Roman" w:hAnsi="Times New Roman" w:cs="Times New Roman" w:hint="default"/>
      </w:rPr>
    </w:lvl>
    <w:lvl w:ilvl="1" w:tplc="040C0003" w:tentative="1">
      <w:start w:val="1"/>
      <w:numFmt w:val="bullet"/>
      <w:lvlText w:val="o"/>
      <w:lvlJc w:val="left"/>
      <w:pPr>
        <w:ind w:left="1931" w:hanging="360"/>
      </w:pPr>
      <w:rPr>
        <w:rFonts w:ascii="Courier New" w:hAnsi="Courier New" w:cs="Courier New" w:hint="default"/>
      </w:rPr>
    </w:lvl>
    <w:lvl w:ilvl="2" w:tplc="040C0005" w:tentative="1">
      <w:start w:val="1"/>
      <w:numFmt w:val="bullet"/>
      <w:lvlText w:val=""/>
      <w:lvlJc w:val="left"/>
      <w:pPr>
        <w:ind w:left="2651" w:hanging="360"/>
      </w:pPr>
      <w:rPr>
        <w:rFonts w:ascii="Wingdings" w:hAnsi="Wingdings" w:hint="default"/>
      </w:rPr>
    </w:lvl>
    <w:lvl w:ilvl="3" w:tplc="040C0001" w:tentative="1">
      <w:start w:val="1"/>
      <w:numFmt w:val="bullet"/>
      <w:lvlText w:val=""/>
      <w:lvlJc w:val="left"/>
      <w:pPr>
        <w:ind w:left="3371" w:hanging="360"/>
      </w:pPr>
      <w:rPr>
        <w:rFonts w:ascii="Symbol" w:hAnsi="Symbol" w:hint="default"/>
      </w:rPr>
    </w:lvl>
    <w:lvl w:ilvl="4" w:tplc="040C0003" w:tentative="1">
      <w:start w:val="1"/>
      <w:numFmt w:val="bullet"/>
      <w:lvlText w:val="o"/>
      <w:lvlJc w:val="left"/>
      <w:pPr>
        <w:ind w:left="4091" w:hanging="360"/>
      </w:pPr>
      <w:rPr>
        <w:rFonts w:ascii="Courier New" w:hAnsi="Courier New" w:cs="Courier New" w:hint="default"/>
      </w:rPr>
    </w:lvl>
    <w:lvl w:ilvl="5" w:tplc="040C0005" w:tentative="1">
      <w:start w:val="1"/>
      <w:numFmt w:val="bullet"/>
      <w:lvlText w:val=""/>
      <w:lvlJc w:val="left"/>
      <w:pPr>
        <w:ind w:left="4811" w:hanging="360"/>
      </w:pPr>
      <w:rPr>
        <w:rFonts w:ascii="Wingdings" w:hAnsi="Wingdings" w:hint="default"/>
      </w:rPr>
    </w:lvl>
    <w:lvl w:ilvl="6" w:tplc="040C0001" w:tentative="1">
      <w:start w:val="1"/>
      <w:numFmt w:val="bullet"/>
      <w:lvlText w:val=""/>
      <w:lvlJc w:val="left"/>
      <w:pPr>
        <w:ind w:left="5531" w:hanging="360"/>
      </w:pPr>
      <w:rPr>
        <w:rFonts w:ascii="Symbol" w:hAnsi="Symbol" w:hint="default"/>
      </w:rPr>
    </w:lvl>
    <w:lvl w:ilvl="7" w:tplc="040C0003" w:tentative="1">
      <w:start w:val="1"/>
      <w:numFmt w:val="bullet"/>
      <w:lvlText w:val="o"/>
      <w:lvlJc w:val="left"/>
      <w:pPr>
        <w:ind w:left="6251" w:hanging="360"/>
      </w:pPr>
      <w:rPr>
        <w:rFonts w:ascii="Courier New" w:hAnsi="Courier New" w:cs="Courier New" w:hint="default"/>
      </w:rPr>
    </w:lvl>
    <w:lvl w:ilvl="8" w:tplc="040C0005" w:tentative="1">
      <w:start w:val="1"/>
      <w:numFmt w:val="bullet"/>
      <w:lvlText w:val=""/>
      <w:lvlJc w:val="left"/>
      <w:pPr>
        <w:ind w:left="6971" w:hanging="360"/>
      </w:pPr>
      <w:rPr>
        <w:rFonts w:ascii="Wingdings" w:hAnsi="Wingdings" w:hint="default"/>
      </w:rPr>
    </w:lvl>
  </w:abstractNum>
  <w:abstractNum w:abstractNumId="16">
    <w:nsid w:val="43ED1022"/>
    <w:multiLevelType w:val="hybridMultilevel"/>
    <w:tmpl w:val="28AA907C"/>
    <w:lvl w:ilvl="0" w:tplc="5CCC50BC">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4DD10C03"/>
    <w:multiLevelType w:val="hybridMultilevel"/>
    <w:tmpl w:val="DF0444B2"/>
    <w:lvl w:ilvl="0" w:tplc="61D20AC8">
      <w:numFmt w:val="bullet"/>
      <w:lvlText w:val="-"/>
      <w:lvlJc w:val="left"/>
      <w:pPr>
        <w:ind w:left="720" w:hanging="360"/>
      </w:pPr>
      <w:rPr>
        <w:rFonts w:ascii="Vrinda" w:eastAsia="Times New Roman" w:hAnsi="Vrind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4E3642DD"/>
    <w:multiLevelType w:val="hybridMultilevel"/>
    <w:tmpl w:val="ED0A5B42"/>
    <w:lvl w:ilvl="0" w:tplc="31C607FE">
      <w:start w:val="843"/>
      <w:numFmt w:val="bullet"/>
      <w:lvlText w:val="-"/>
      <w:lvlJc w:val="left"/>
      <w:pPr>
        <w:ind w:left="720" w:hanging="360"/>
      </w:pPr>
      <w:rPr>
        <w:rFonts w:ascii="Cambria" w:eastAsia="Times New Roman" w:hAnsi="Cambria" w:cs="Century Schoolbook"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52DB69D9"/>
    <w:multiLevelType w:val="hybridMultilevel"/>
    <w:tmpl w:val="04324CF2"/>
    <w:lvl w:ilvl="0" w:tplc="EE1435D4">
      <w:numFmt w:val="bullet"/>
      <w:lvlText w:val="-"/>
      <w:lvlJc w:val="left"/>
      <w:pPr>
        <w:ind w:left="1428" w:hanging="360"/>
      </w:pPr>
      <w:rPr>
        <w:rFonts w:ascii="Times New Roman" w:eastAsia="Times New Roman" w:hAnsi="Times New Roman" w:cs="Times New Roman"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20">
    <w:nsid w:val="57C02B49"/>
    <w:multiLevelType w:val="hybridMultilevel"/>
    <w:tmpl w:val="95B83EB2"/>
    <w:lvl w:ilvl="0" w:tplc="EA42991E">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6002698E"/>
    <w:multiLevelType w:val="hybridMultilevel"/>
    <w:tmpl w:val="6F860880"/>
    <w:lvl w:ilvl="0" w:tplc="040C0001">
      <w:start w:val="1"/>
      <w:numFmt w:val="bullet"/>
      <w:lvlText w:val=""/>
      <w:lvlJc w:val="left"/>
      <w:pPr>
        <w:ind w:left="1571" w:hanging="360"/>
      </w:pPr>
      <w:rPr>
        <w:rFonts w:ascii="Symbol" w:hAnsi="Symbol" w:hint="default"/>
      </w:rPr>
    </w:lvl>
    <w:lvl w:ilvl="1" w:tplc="040C0003">
      <w:start w:val="1"/>
      <w:numFmt w:val="bullet"/>
      <w:lvlText w:val="o"/>
      <w:lvlJc w:val="left"/>
      <w:pPr>
        <w:ind w:left="2291" w:hanging="360"/>
      </w:pPr>
      <w:rPr>
        <w:rFonts w:ascii="Courier New" w:hAnsi="Courier New" w:cs="Courier New" w:hint="default"/>
      </w:rPr>
    </w:lvl>
    <w:lvl w:ilvl="2" w:tplc="040C0005">
      <w:start w:val="1"/>
      <w:numFmt w:val="bullet"/>
      <w:lvlText w:val=""/>
      <w:lvlJc w:val="left"/>
      <w:pPr>
        <w:ind w:left="3011" w:hanging="360"/>
      </w:pPr>
      <w:rPr>
        <w:rFonts w:ascii="Wingdings" w:hAnsi="Wingdings" w:hint="default"/>
      </w:rPr>
    </w:lvl>
    <w:lvl w:ilvl="3" w:tplc="040C0001">
      <w:start w:val="1"/>
      <w:numFmt w:val="bullet"/>
      <w:lvlText w:val=""/>
      <w:lvlJc w:val="left"/>
      <w:pPr>
        <w:ind w:left="3731" w:hanging="360"/>
      </w:pPr>
      <w:rPr>
        <w:rFonts w:ascii="Symbol" w:hAnsi="Symbol" w:hint="default"/>
      </w:rPr>
    </w:lvl>
    <w:lvl w:ilvl="4" w:tplc="040C0003">
      <w:start w:val="1"/>
      <w:numFmt w:val="bullet"/>
      <w:lvlText w:val="o"/>
      <w:lvlJc w:val="left"/>
      <w:pPr>
        <w:ind w:left="4451" w:hanging="360"/>
      </w:pPr>
      <w:rPr>
        <w:rFonts w:ascii="Courier New" w:hAnsi="Courier New" w:cs="Courier New" w:hint="default"/>
      </w:rPr>
    </w:lvl>
    <w:lvl w:ilvl="5" w:tplc="040C0005">
      <w:start w:val="1"/>
      <w:numFmt w:val="bullet"/>
      <w:lvlText w:val=""/>
      <w:lvlJc w:val="left"/>
      <w:pPr>
        <w:ind w:left="5171" w:hanging="360"/>
      </w:pPr>
      <w:rPr>
        <w:rFonts w:ascii="Wingdings" w:hAnsi="Wingdings" w:hint="default"/>
      </w:rPr>
    </w:lvl>
    <w:lvl w:ilvl="6" w:tplc="040C0001">
      <w:start w:val="1"/>
      <w:numFmt w:val="bullet"/>
      <w:lvlText w:val=""/>
      <w:lvlJc w:val="left"/>
      <w:pPr>
        <w:ind w:left="5891" w:hanging="360"/>
      </w:pPr>
      <w:rPr>
        <w:rFonts w:ascii="Symbol" w:hAnsi="Symbol" w:hint="default"/>
      </w:rPr>
    </w:lvl>
    <w:lvl w:ilvl="7" w:tplc="040C0003">
      <w:start w:val="1"/>
      <w:numFmt w:val="bullet"/>
      <w:lvlText w:val="o"/>
      <w:lvlJc w:val="left"/>
      <w:pPr>
        <w:ind w:left="6611" w:hanging="360"/>
      </w:pPr>
      <w:rPr>
        <w:rFonts w:ascii="Courier New" w:hAnsi="Courier New" w:cs="Courier New" w:hint="default"/>
      </w:rPr>
    </w:lvl>
    <w:lvl w:ilvl="8" w:tplc="040C0005">
      <w:start w:val="1"/>
      <w:numFmt w:val="bullet"/>
      <w:lvlText w:val=""/>
      <w:lvlJc w:val="left"/>
      <w:pPr>
        <w:ind w:left="7331" w:hanging="360"/>
      </w:pPr>
      <w:rPr>
        <w:rFonts w:ascii="Wingdings" w:hAnsi="Wingdings" w:hint="default"/>
      </w:rPr>
    </w:lvl>
  </w:abstractNum>
  <w:abstractNum w:abstractNumId="22">
    <w:nsid w:val="636A1D25"/>
    <w:multiLevelType w:val="hybridMultilevel"/>
    <w:tmpl w:val="7C9E6106"/>
    <w:lvl w:ilvl="0" w:tplc="67F6E272">
      <w:start w:val="1"/>
      <w:numFmt w:val="bullet"/>
      <w:lvlText w:val="-"/>
      <w:lvlJc w:val="left"/>
      <w:pPr>
        <w:ind w:left="720" w:hanging="360"/>
      </w:pPr>
      <w:rPr>
        <w:rFonts w:ascii="Agency FB" w:hAnsi="Agency FB"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646F37A4"/>
    <w:multiLevelType w:val="hybridMultilevel"/>
    <w:tmpl w:val="97B6BE9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66AB6BB0"/>
    <w:multiLevelType w:val="hybridMultilevel"/>
    <w:tmpl w:val="15526632"/>
    <w:lvl w:ilvl="0" w:tplc="1F206084">
      <w:numFmt w:val="bullet"/>
      <w:lvlText w:val="-"/>
      <w:lvlJc w:val="left"/>
      <w:pPr>
        <w:ind w:left="1068" w:hanging="360"/>
      </w:pPr>
      <w:rPr>
        <w:rFonts w:ascii="Times New Roman" w:eastAsia="Times New Roman" w:hAnsi="Times New Roman" w:cs="Times New Roman" w:hint="default"/>
      </w:rPr>
    </w:lvl>
    <w:lvl w:ilvl="1" w:tplc="040C0003">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5">
    <w:nsid w:val="688F0445"/>
    <w:multiLevelType w:val="hybridMultilevel"/>
    <w:tmpl w:val="F6607B68"/>
    <w:lvl w:ilvl="0" w:tplc="67F6E272">
      <w:start w:val="1"/>
      <w:numFmt w:val="bullet"/>
      <w:lvlText w:val="-"/>
      <w:lvlJc w:val="left"/>
      <w:pPr>
        <w:ind w:left="720" w:hanging="360"/>
      </w:pPr>
      <w:rPr>
        <w:rFonts w:ascii="Agency FB" w:hAnsi="Agency FB"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nsid w:val="69A24179"/>
    <w:multiLevelType w:val="multilevel"/>
    <w:tmpl w:val="8B969328"/>
    <w:lvl w:ilvl="0">
      <w:start w:val="1"/>
      <w:numFmt w:val="none"/>
      <w:pStyle w:val="-ActeArticlecontenuGEDA"/>
      <w:lvlText w:val=" "/>
      <w:lvlJc w:val="left"/>
      <w:pPr>
        <w:tabs>
          <w:tab w:val="num" w:pos="360"/>
        </w:tabs>
        <w:ind w:left="340" w:hanging="340"/>
      </w:pPr>
      <w:rPr>
        <w:rFonts w:cs="Times New Roman" w:hint="default"/>
      </w:rPr>
    </w:lvl>
    <w:lvl w:ilvl="1">
      <w:start w:val="1"/>
      <w:numFmt w:val="none"/>
      <w:lvlText w:val=" "/>
      <w:lvlJc w:val="left"/>
      <w:pPr>
        <w:tabs>
          <w:tab w:val="num" w:pos="700"/>
        </w:tabs>
        <w:ind w:left="680" w:hanging="340"/>
      </w:pPr>
      <w:rPr>
        <w:rFonts w:cs="Times New Roman" w:hint="default"/>
      </w:rPr>
    </w:lvl>
    <w:lvl w:ilvl="2">
      <w:start w:val="1"/>
      <w:numFmt w:val="lowerRoman"/>
      <w:lvlText w:val="%3)"/>
      <w:lvlJc w:val="left"/>
      <w:pPr>
        <w:tabs>
          <w:tab w:val="num" w:pos="1420"/>
        </w:tabs>
        <w:ind w:left="1420" w:hanging="360"/>
      </w:pPr>
      <w:rPr>
        <w:rFonts w:cs="Times New Roman" w:hint="default"/>
      </w:rPr>
    </w:lvl>
    <w:lvl w:ilvl="3">
      <w:start w:val="1"/>
      <w:numFmt w:val="decimal"/>
      <w:lvlText w:val="(%4)"/>
      <w:lvlJc w:val="left"/>
      <w:pPr>
        <w:tabs>
          <w:tab w:val="num" w:pos="1780"/>
        </w:tabs>
        <w:ind w:left="1780" w:hanging="360"/>
      </w:pPr>
      <w:rPr>
        <w:rFonts w:cs="Times New Roman" w:hint="default"/>
      </w:rPr>
    </w:lvl>
    <w:lvl w:ilvl="4">
      <w:start w:val="1"/>
      <w:numFmt w:val="lowerLetter"/>
      <w:lvlText w:val="(%5)"/>
      <w:lvlJc w:val="left"/>
      <w:pPr>
        <w:tabs>
          <w:tab w:val="num" w:pos="2140"/>
        </w:tabs>
        <w:ind w:left="2140" w:hanging="360"/>
      </w:pPr>
      <w:rPr>
        <w:rFonts w:cs="Times New Roman" w:hint="default"/>
      </w:rPr>
    </w:lvl>
    <w:lvl w:ilvl="5">
      <w:start w:val="1"/>
      <w:numFmt w:val="lowerRoman"/>
      <w:lvlText w:val="(%6)"/>
      <w:lvlJc w:val="left"/>
      <w:pPr>
        <w:tabs>
          <w:tab w:val="num" w:pos="2500"/>
        </w:tabs>
        <w:ind w:left="2500" w:hanging="360"/>
      </w:pPr>
      <w:rPr>
        <w:rFonts w:cs="Times New Roman" w:hint="default"/>
      </w:rPr>
    </w:lvl>
    <w:lvl w:ilvl="6">
      <w:start w:val="1"/>
      <w:numFmt w:val="decimal"/>
      <w:lvlText w:val="%7."/>
      <w:lvlJc w:val="left"/>
      <w:pPr>
        <w:tabs>
          <w:tab w:val="num" w:pos="2860"/>
        </w:tabs>
        <w:ind w:left="2860" w:hanging="360"/>
      </w:pPr>
      <w:rPr>
        <w:rFonts w:cs="Times New Roman" w:hint="default"/>
      </w:rPr>
    </w:lvl>
    <w:lvl w:ilvl="7">
      <w:start w:val="1"/>
      <w:numFmt w:val="lowerLetter"/>
      <w:lvlText w:val="%8."/>
      <w:lvlJc w:val="left"/>
      <w:pPr>
        <w:tabs>
          <w:tab w:val="num" w:pos="3220"/>
        </w:tabs>
        <w:ind w:left="3220" w:hanging="360"/>
      </w:pPr>
      <w:rPr>
        <w:rFonts w:cs="Times New Roman" w:hint="default"/>
      </w:rPr>
    </w:lvl>
    <w:lvl w:ilvl="8">
      <w:start w:val="1"/>
      <w:numFmt w:val="lowerRoman"/>
      <w:lvlText w:val="%9."/>
      <w:lvlJc w:val="left"/>
      <w:pPr>
        <w:tabs>
          <w:tab w:val="num" w:pos="3580"/>
        </w:tabs>
        <w:ind w:left="3580" w:hanging="360"/>
      </w:pPr>
      <w:rPr>
        <w:rFonts w:cs="Times New Roman" w:hint="default"/>
      </w:rPr>
    </w:lvl>
  </w:abstractNum>
  <w:abstractNum w:abstractNumId="27">
    <w:nsid w:val="6BEF022E"/>
    <w:multiLevelType w:val="hybridMultilevel"/>
    <w:tmpl w:val="2DE4F85C"/>
    <w:lvl w:ilvl="0" w:tplc="8904EF5C">
      <w:start w:val="16"/>
      <w:numFmt w:val="bullet"/>
      <w:lvlText w:val="-"/>
      <w:lvlJc w:val="left"/>
      <w:pPr>
        <w:ind w:left="2136" w:hanging="360"/>
      </w:pPr>
      <w:rPr>
        <w:rFonts w:ascii="Trebuchet MS" w:eastAsia="Times New Roman" w:hAnsi="Trebuchet MS" w:cs="Arial" w:hint="default"/>
      </w:rPr>
    </w:lvl>
    <w:lvl w:ilvl="1" w:tplc="040C0003" w:tentative="1">
      <w:start w:val="1"/>
      <w:numFmt w:val="bullet"/>
      <w:lvlText w:val="o"/>
      <w:lvlJc w:val="left"/>
      <w:pPr>
        <w:ind w:left="2856" w:hanging="360"/>
      </w:pPr>
      <w:rPr>
        <w:rFonts w:ascii="Courier New" w:hAnsi="Courier New" w:cs="Courier New" w:hint="default"/>
      </w:rPr>
    </w:lvl>
    <w:lvl w:ilvl="2" w:tplc="040C0005" w:tentative="1">
      <w:start w:val="1"/>
      <w:numFmt w:val="bullet"/>
      <w:lvlText w:val=""/>
      <w:lvlJc w:val="left"/>
      <w:pPr>
        <w:ind w:left="3576" w:hanging="360"/>
      </w:pPr>
      <w:rPr>
        <w:rFonts w:ascii="Wingdings" w:hAnsi="Wingdings" w:hint="default"/>
      </w:rPr>
    </w:lvl>
    <w:lvl w:ilvl="3" w:tplc="040C0001" w:tentative="1">
      <w:start w:val="1"/>
      <w:numFmt w:val="bullet"/>
      <w:lvlText w:val=""/>
      <w:lvlJc w:val="left"/>
      <w:pPr>
        <w:ind w:left="4296" w:hanging="360"/>
      </w:pPr>
      <w:rPr>
        <w:rFonts w:ascii="Symbol" w:hAnsi="Symbol" w:hint="default"/>
      </w:rPr>
    </w:lvl>
    <w:lvl w:ilvl="4" w:tplc="040C0003" w:tentative="1">
      <w:start w:val="1"/>
      <w:numFmt w:val="bullet"/>
      <w:lvlText w:val="o"/>
      <w:lvlJc w:val="left"/>
      <w:pPr>
        <w:ind w:left="5016" w:hanging="360"/>
      </w:pPr>
      <w:rPr>
        <w:rFonts w:ascii="Courier New" w:hAnsi="Courier New" w:cs="Courier New" w:hint="default"/>
      </w:rPr>
    </w:lvl>
    <w:lvl w:ilvl="5" w:tplc="040C0005" w:tentative="1">
      <w:start w:val="1"/>
      <w:numFmt w:val="bullet"/>
      <w:lvlText w:val=""/>
      <w:lvlJc w:val="left"/>
      <w:pPr>
        <w:ind w:left="5736" w:hanging="360"/>
      </w:pPr>
      <w:rPr>
        <w:rFonts w:ascii="Wingdings" w:hAnsi="Wingdings" w:hint="default"/>
      </w:rPr>
    </w:lvl>
    <w:lvl w:ilvl="6" w:tplc="040C0001" w:tentative="1">
      <w:start w:val="1"/>
      <w:numFmt w:val="bullet"/>
      <w:lvlText w:val=""/>
      <w:lvlJc w:val="left"/>
      <w:pPr>
        <w:ind w:left="6456" w:hanging="360"/>
      </w:pPr>
      <w:rPr>
        <w:rFonts w:ascii="Symbol" w:hAnsi="Symbol" w:hint="default"/>
      </w:rPr>
    </w:lvl>
    <w:lvl w:ilvl="7" w:tplc="040C0003" w:tentative="1">
      <w:start w:val="1"/>
      <w:numFmt w:val="bullet"/>
      <w:lvlText w:val="o"/>
      <w:lvlJc w:val="left"/>
      <w:pPr>
        <w:ind w:left="7176" w:hanging="360"/>
      </w:pPr>
      <w:rPr>
        <w:rFonts w:ascii="Courier New" w:hAnsi="Courier New" w:cs="Courier New" w:hint="default"/>
      </w:rPr>
    </w:lvl>
    <w:lvl w:ilvl="8" w:tplc="040C0005" w:tentative="1">
      <w:start w:val="1"/>
      <w:numFmt w:val="bullet"/>
      <w:lvlText w:val=""/>
      <w:lvlJc w:val="left"/>
      <w:pPr>
        <w:ind w:left="7896" w:hanging="360"/>
      </w:pPr>
      <w:rPr>
        <w:rFonts w:ascii="Wingdings" w:hAnsi="Wingdings" w:hint="default"/>
      </w:rPr>
    </w:lvl>
  </w:abstractNum>
  <w:abstractNum w:abstractNumId="28">
    <w:nsid w:val="6D0D4939"/>
    <w:multiLevelType w:val="hybridMultilevel"/>
    <w:tmpl w:val="2AE63CB0"/>
    <w:lvl w:ilvl="0" w:tplc="9398D5DE">
      <w:start w:val="1"/>
      <w:numFmt w:val="bullet"/>
      <w:lvlText w:val=""/>
      <w:lvlJc w:val="left"/>
      <w:pPr>
        <w:ind w:left="1211" w:hanging="360"/>
      </w:pPr>
      <w:rPr>
        <w:rFonts w:ascii="Symbol" w:hAnsi="Symbol" w:hint="default"/>
      </w:rPr>
    </w:lvl>
    <w:lvl w:ilvl="1" w:tplc="040C0003" w:tentative="1">
      <w:start w:val="1"/>
      <w:numFmt w:val="bullet"/>
      <w:lvlText w:val="o"/>
      <w:lvlJc w:val="left"/>
      <w:pPr>
        <w:ind w:left="1931" w:hanging="360"/>
      </w:pPr>
      <w:rPr>
        <w:rFonts w:ascii="Courier New" w:hAnsi="Courier New" w:cs="Courier New" w:hint="default"/>
      </w:rPr>
    </w:lvl>
    <w:lvl w:ilvl="2" w:tplc="040C0005" w:tentative="1">
      <w:start w:val="1"/>
      <w:numFmt w:val="bullet"/>
      <w:lvlText w:val=""/>
      <w:lvlJc w:val="left"/>
      <w:pPr>
        <w:ind w:left="2651" w:hanging="360"/>
      </w:pPr>
      <w:rPr>
        <w:rFonts w:ascii="Wingdings" w:hAnsi="Wingdings" w:hint="default"/>
      </w:rPr>
    </w:lvl>
    <w:lvl w:ilvl="3" w:tplc="040C0001" w:tentative="1">
      <w:start w:val="1"/>
      <w:numFmt w:val="bullet"/>
      <w:lvlText w:val=""/>
      <w:lvlJc w:val="left"/>
      <w:pPr>
        <w:ind w:left="3371" w:hanging="360"/>
      </w:pPr>
      <w:rPr>
        <w:rFonts w:ascii="Symbol" w:hAnsi="Symbol" w:hint="default"/>
      </w:rPr>
    </w:lvl>
    <w:lvl w:ilvl="4" w:tplc="040C0003" w:tentative="1">
      <w:start w:val="1"/>
      <w:numFmt w:val="bullet"/>
      <w:lvlText w:val="o"/>
      <w:lvlJc w:val="left"/>
      <w:pPr>
        <w:ind w:left="4091" w:hanging="360"/>
      </w:pPr>
      <w:rPr>
        <w:rFonts w:ascii="Courier New" w:hAnsi="Courier New" w:cs="Courier New" w:hint="default"/>
      </w:rPr>
    </w:lvl>
    <w:lvl w:ilvl="5" w:tplc="040C0005" w:tentative="1">
      <w:start w:val="1"/>
      <w:numFmt w:val="bullet"/>
      <w:lvlText w:val=""/>
      <w:lvlJc w:val="left"/>
      <w:pPr>
        <w:ind w:left="4811" w:hanging="360"/>
      </w:pPr>
      <w:rPr>
        <w:rFonts w:ascii="Wingdings" w:hAnsi="Wingdings" w:hint="default"/>
      </w:rPr>
    </w:lvl>
    <w:lvl w:ilvl="6" w:tplc="040C0001" w:tentative="1">
      <w:start w:val="1"/>
      <w:numFmt w:val="bullet"/>
      <w:lvlText w:val=""/>
      <w:lvlJc w:val="left"/>
      <w:pPr>
        <w:ind w:left="5531" w:hanging="360"/>
      </w:pPr>
      <w:rPr>
        <w:rFonts w:ascii="Symbol" w:hAnsi="Symbol" w:hint="default"/>
      </w:rPr>
    </w:lvl>
    <w:lvl w:ilvl="7" w:tplc="040C0003" w:tentative="1">
      <w:start w:val="1"/>
      <w:numFmt w:val="bullet"/>
      <w:lvlText w:val="o"/>
      <w:lvlJc w:val="left"/>
      <w:pPr>
        <w:ind w:left="6251" w:hanging="360"/>
      </w:pPr>
      <w:rPr>
        <w:rFonts w:ascii="Courier New" w:hAnsi="Courier New" w:cs="Courier New" w:hint="default"/>
      </w:rPr>
    </w:lvl>
    <w:lvl w:ilvl="8" w:tplc="040C0005" w:tentative="1">
      <w:start w:val="1"/>
      <w:numFmt w:val="bullet"/>
      <w:lvlText w:val=""/>
      <w:lvlJc w:val="left"/>
      <w:pPr>
        <w:ind w:left="6971" w:hanging="360"/>
      </w:pPr>
      <w:rPr>
        <w:rFonts w:ascii="Wingdings" w:hAnsi="Wingdings" w:hint="default"/>
      </w:rPr>
    </w:lvl>
  </w:abstractNum>
  <w:abstractNum w:abstractNumId="29">
    <w:nsid w:val="76E17853"/>
    <w:multiLevelType w:val="hybridMultilevel"/>
    <w:tmpl w:val="BF7E0020"/>
    <w:lvl w:ilvl="0" w:tplc="61D20AC8">
      <w:numFmt w:val="bullet"/>
      <w:lvlText w:val="-"/>
      <w:lvlJc w:val="left"/>
      <w:pPr>
        <w:ind w:left="720" w:hanging="360"/>
      </w:pPr>
      <w:rPr>
        <w:rFonts w:ascii="Vrinda" w:eastAsia="Times New Roman" w:hAnsi="Vrind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nsid w:val="7A1F5AA9"/>
    <w:multiLevelType w:val="hybridMultilevel"/>
    <w:tmpl w:val="F0604220"/>
    <w:lvl w:ilvl="0" w:tplc="B20E3600">
      <w:start w:val="2"/>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nsid w:val="7ABB3447"/>
    <w:multiLevelType w:val="hybridMultilevel"/>
    <w:tmpl w:val="214E3344"/>
    <w:lvl w:ilvl="0" w:tplc="82A0A86E">
      <w:start w:val="4"/>
      <w:numFmt w:val="bullet"/>
      <w:lvlText w:val="-"/>
      <w:lvlJc w:val="left"/>
      <w:pPr>
        <w:ind w:left="1211" w:hanging="360"/>
      </w:pPr>
      <w:rPr>
        <w:rFonts w:ascii="Times New Roman" w:eastAsia="Times New Roman" w:hAnsi="Times New Roman" w:cs="Times New Roman" w:hint="default"/>
      </w:rPr>
    </w:lvl>
    <w:lvl w:ilvl="1" w:tplc="040C0003" w:tentative="1">
      <w:start w:val="1"/>
      <w:numFmt w:val="bullet"/>
      <w:lvlText w:val="o"/>
      <w:lvlJc w:val="left"/>
      <w:pPr>
        <w:ind w:left="1931" w:hanging="360"/>
      </w:pPr>
      <w:rPr>
        <w:rFonts w:ascii="Courier New" w:hAnsi="Courier New" w:cs="Courier New" w:hint="default"/>
      </w:rPr>
    </w:lvl>
    <w:lvl w:ilvl="2" w:tplc="040C0005" w:tentative="1">
      <w:start w:val="1"/>
      <w:numFmt w:val="bullet"/>
      <w:lvlText w:val=""/>
      <w:lvlJc w:val="left"/>
      <w:pPr>
        <w:ind w:left="2651" w:hanging="360"/>
      </w:pPr>
      <w:rPr>
        <w:rFonts w:ascii="Wingdings" w:hAnsi="Wingdings" w:hint="default"/>
      </w:rPr>
    </w:lvl>
    <w:lvl w:ilvl="3" w:tplc="040C0001" w:tentative="1">
      <w:start w:val="1"/>
      <w:numFmt w:val="bullet"/>
      <w:lvlText w:val=""/>
      <w:lvlJc w:val="left"/>
      <w:pPr>
        <w:ind w:left="3371" w:hanging="360"/>
      </w:pPr>
      <w:rPr>
        <w:rFonts w:ascii="Symbol" w:hAnsi="Symbol" w:hint="default"/>
      </w:rPr>
    </w:lvl>
    <w:lvl w:ilvl="4" w:tplc="040C0003" w:tentative="1">
      <w:start w:val="1"/>
      <w:numFmt w:val="bullet"/>
      <w:lvlText w:val="o"/>
      <w:lvlJc w:val="left"/>
      <w:pPr>
        <w:ind w:left="4091" w:hanging="360"/>
      </w:pPr>
      <w:rPr>
        <w:rFonts w:ascii="Courier New" w:hAnsi="Courier New" w:cs="Courier New" w:hint="default"/>
      </w:rPr>
    </w:lvl>
    <w:lvl w:ilvl="5" w:tplc="040C0005" w:tentative="1">
      <w:start w:val="1"/>
      <w:numFmt w:val="bullet"/>
      <w:lvlText w:val=""/>
      <w:lvlJc w:val="left"/>
      <w:pPr>
        <w:ind w:left="4811" w:hanging="360"/>
      </w:pPr>
      <w:rPr>
        <w:rFonts w:ascii="Wingdings" w:hAnsi="Wingdings" w:hint="default"/>
      </w:rPr>
    </w:lvl>
    <w:lvl w:ilvl="6" w:tplc="040C0001" w:tentative="1">
      <w:start w:val="1"/>
      <w:numFmt w:val="bullet"/>
      <w:lvlText w:val=""/>
      <w:lvlJc w:val="left"/>
      <w:pPr>
        <w:ind w:left="5531" w:hanging="360"/>
      </w:pPr>
      <w:rPr>
        <w:rFonts w:ascii="Symbol" w:hAnsi="Symbol" w:hint="default"/>
      </w:rPr>
    </w:lvl>
    <w:lvl w:ilvl="7" w:tplc="040C0003" w:tentative="1">
      <w:start w:val="1"/>
      <w:numFmt w:val="bullet"/>
      <w:lvlText w:val="o"/>
      <w:lvlJc w:val="left"/>
      <w:pPr>
        <w:ind w:left="6251" w:hanging="360"/>
      </w:pPr>
      <w:rPr>
        <w:rFonts w:ascii="Courier New" w:hAnsi="Courier New" w:cs="Courier New" w:hint="default"/>
      </w:rPr>
    </w:lvl>
    <w:lvl w:ilvl="8" w:tplc="040C0005" w:tentative="1">
      <w:start w:val="1"/>
      <w:numFmt w:val="bullet"/>
      <w:lvlText w:val=""/>
      <w:lvlJc w:val="left"/>
      <w:pPr>
        <w:ind w:left="6971" w:hanging="360"/>
      </w:pPr>
      <w:rPr>
        <w:rFonts w:ascii="Wingdings" w:hAnsi="Wingdings" w:hint="default"/>
      </w:rPr>
    </w:lvl>
  </w:abstractNum>
  <w:abstractNum w:abstractNumId="32">
    <w:nsid w:val="7C6B6C80"/>
    <w:multiLevelType w:val="hybridMultilevel"/>
    <w:tmpl w:val="6670558C"/>
    <w:lvl w:ilvl="0" w:tplc="D3ECA548">
      <w:start w:val="3"/>
      <w:numFmt w:val="bullet"/>
      <w:lvlText w:val="-"/>
      <w:lvlJc w:val="left"/>
      <w:pPr>
        <w:ind w:left="785" w:hanging="360"/>
      </w:pPr>
      <w:rPr>
        <w:rFonts w:ascii="Arial" w:eastAsia="Times New Roman" w:hAnsi="Arial" w:cs="Arial" w:hint="default"/>
      </w:rPr>
    </w:lvl>
    <w:lvl w:ilvl="1" w:tplc="040C0003" w:tentative="1">
      <w:start w:val="1"/>
      <w:numFmt w:val="bullet"/>
      <w:lvlText w:val="o"/>
      <w:lvlJc w:val="left"/>
      <w:pPr>
        <w:ind w:left="1505" w:hanging="360"/>
      </w:pPr>
      <w:rPr>
        <w:rFonts w:ascii="Courier New" w:hAnsi="Courier New" w:cs="Courier New" w:hint="default"/>
      </w:rPr>
    </w:lvl>
    <w:lvl w:ilvl="2" w:tplc="040C0005" w:tentative="1">
      <w:start w:val="1"/>
      <w:numFmt w:val="bullet"/>
      <w:lvlText w:val=""/>
      <w:lvlJc w:val="left"/>
      <w:pPr>
        <w:ind w:left="2225" w:hanging="360"/>
      </w:pPr>
      <w:rPr>
        <w:rFonts w:ascii="Wingdings" w:hAnsi="Wingdings" w:hint="default"/>
      </w:rPr>
    </w:lvl>
    <w:lvl w:ilvl="3" w:tplc="040C0001" w:tentative="1">
      <w:start w:val="1"/>
      <w:numFmt w:val="bullet"/>
      <w:lvlText w:val=""/>
      <w:lvlJc w:val="left"/>
      <w:pPr>
        <w:ind w:left="2945" w:hanging="360"/>
      </w:pPr>
      <w:rPr>
        <w:rFonts w:ascii="Symbol" w:hAnsi="Symbol" w:hint="default"/>
      </w:rPr>
    </w:lvl>
    <w:lvl w:ilvl="4" w:tplc="040C0003" w:tentative="1">
      <w:start w:val="1"/>
      <w:numFmt w:val="bullet"/>
      <w:lvlText w:val="o"/>
      <w:lvlJc w:val="left"/>
      <w:pPr>
        <w:ind w:left="3665" w:hanging="360"/>
      </w:pPr>
      <w:rPr>
        <w:rFonts w:ascii="Courier New" w:hAnsi="Courier New" w:cs="Courier New" w:hint="default"/>
      </w:rPr>
    </w:lvl>
    <w:lvl w:ilvl="5" w:tplc="040C0005" w:tentative="1">
      <w:start w:val="1"/>
      <w:numFmt w:val="bullet"/>
      <w:lvlText w:val=""/>
      <w:lvlJc w:val="left"/>
      <w:pPr>
        <w:ind w:left="4385" w:hanging="360"/>
      </w:pPr>
      <w:rPr>
        <w:rFonts w:ascii="Wingdings" w:hAnsi="Wingdings" w:hint="default"/>
      </w:rPr>
    </w:lvl>
    <w:lvl w:ilvl="6" w:tplc="040C0001" w:tentative="1">
      <w:start w:val="1"/>
      <w:numFmt w:val="bullet"/>
      <w:lvlText w:val=""/>
      <w:lvlJc w:val="left"/>
      <w:pPr>
        <w:ind w:left="5105" w:hanging="360"/>
      </w:pPr>
      <w:rPr>
        <w:rFonts w:ascii="Symbol" w:hAnsi="Symbol" w:hint="default"/>
      </w:rPr>
    </w:lvl>
    <w:lvl w:ilvl="7" w:tplc="040C0003" w:tentative="1">
      <w:start w:val="1"/>
      <w:numFmt w:val="bullet"/>
      <w:lvlText w:val="o"/>
      <w:lvlJc w:val="left"/>
      <w:pPr>
        <w:ind w:left="5825" w:hanging="360"/>
      </w:pPr>
      <w:rPr>
        <w:rFonts w:ascii="Courier New" w:hAnsi="Courier New" w:cs="Courier New" w:hint="default"/>
      </w:rPr>
    </w:lvl>
    <w:lvl w:ilvl="8" w:tplc="040C0005" w:tentative="1">
      <w:start w:val="1"/>
      <w:numFmt w:val="bullet"/>
      <w:lvlText w:val=""/>
      <w:lvlJc w:val="left"/>
      <w:pPr>
        <w:ind w:left="6545" w:hanging="360"/>
      </w:pPr>
      <w:rPr>
        <w:rFonts w:ascii="Wingdings" w:hAnsi="Wingdings" w:hint="default"/>
      </w:rPr>
    </w:lvl>
  </w:abstractNum>
  <w:abstractNum w:abstractNumId="33">
    <w:nsid w:val="7F506F9C"/>
    <w:multiLevelType w:val="singleLevel"/>
    <w:tmpl w:val="119AC172"/>
    <w:lvl w:ilvl="0">
      <w:start w:val="1"/>
      <w:numFmt w:val="none"/>
      <w:pStyle w:val="Titre9"/>
      <w:lvlText w:val="Objet : "/>
      <w:legacy w:legacy="1" w:legacySpace="0" w:legacyIndent="851"/>
      <w:lvlJc w:val="left"/>
      <w:pPr>
        <w:ind w:left="851" w:hanging="851"/>
      </w:pPr>
      <w:rPr>
        <w:b/>
        <w:i w:val="0"/>
        <w:sz w:val="24"/>
        <w:u w:val="single"/>
      </w:rPr>
    </w:lvl>
  </w:abstractNum>
  <w:num w:numId="1">
    <w:abstractNumId w:val="13"/>
  </w:num>
  <w:num w:numId="2">
    <w:abstractNumId w:val="14"/>
  </w:num>
  <w:num w:numId="3">
    <w:abstractNumId w:val="33"/>
  </w:num>
  <w:num w:numId="4">
    <w:abstractNumId w:val="26"/>
  </w:num>
  <w:num w:numId="5">
    <w:abstractNumId w:val="15"/>
  </w:num>
  <w:num w:numId="6">
    <w:abstractNumId w:val="11"/>
  </w:num>
  <w:num w:numId="7">
    <w:abstractNumId w:val="12"/>
  </w:num>
  <w:num w:numId="8">
    <w:abstractNumId w:val="1"/>
  </w:num>
  <w:num w:numId="9">
    <w:abstractNumId w:val="16"/>
  </w:num>
  <w:num w:numId="10">
    <w:abstractNumId w:val="9"/>
  </w:num>
  <w:num w:numId="11">
    <w:abstractNumId w:val="24"/>
  </w:num>
  <w:num w:numId="12">
    <w:abstractNumId w:val="20"/>
  </w:num>
  <w:num w:numId="13">
    <w:abstractNumId w:val="18"/>
  </w:num>
  <w:num w:numId="14">
    <w:abstractNumId w:val="19"/>
  </w:num>
  <w:num w:numId="15">
    <w:abstractNumId w:val="4"/>
  </w:num>
  <w:num w:numId="16">
    <w:abstractNumId w:val="3"/>
  </w:num>
  <w:num w:numId="17">
    <w:abstractNumId w:val="29"/>
  </w:num>
  <w:num w:numId="18">
    <w:abstractNumId w:val="17"/>
  </w:num>
  <w:num w:numId="19">
    <w:abstractNumId w:val="0"/>
  </w:num>
  <w:num w:numId="20">
    <w:abstractNumId w:val="23"/>
  </w:num>
  <w:num w:numId="21">
    <w:abstractNumId w:val="8"/>
  </w:num>
  <w:num w:numId="22">
    <w:abstractNumId w:val="28"/>
  </w:num>
  <w:num w:numId="23">
    <w:abstractNumId w:val="10"/>
  </w:num>
  <w:num w:numId="24">
    <w:abstractNumId w:val="31"/>
  </w:num>
  <w:num w:numId="25">
    <w:abstractNumId w:val="27"/>
  </w:num>
  <w:num w:numId="26">
    <w:abstractNumId w:val="21"/>
  </w:num>
  <w:num w:numId="27">
    <w:abstractNumId w:val="5"/>
  </w:num>
  <w:num w:numId="28">
    <w:abstractNumId w:val="6"/>
  </w:num>
  <w:num w:numId="29">
    <w:abstractNumId w:val="30"/>
  </w:num>
  <w:num w:numId="30">
    <w:abstractNumId w:val="2"/>
  </w:num>
  <w:num w:numId="31">
    <w:abstractNumId w:val="7"/>
  </w:num>
  <w:num w:numId="32">
    <w:abstractNumId w:val="25"/>
  </w:num>
  <w:num w:numId="33">
    <w:abstractNumId w:val="22"/>
  </w:num>
  <w:num w:numId="34">
    <w:abstractNumId w:val="32"/>
  </w:num>
  <w:num w:numId="35">
    <w:abstractNumId w:val="3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47CE"/>
    <w:rsid w:val="00002B31"/>
    <w:rsid w:val="00011CE8"/>
    <w:rsid w:val="00015FF2"/>
    <w:rsid w:val="000224F9"/>
    <w:rsid w:val="0003093E"/>
    <w:rsid w:val="00033658"/>
    <w:rsid w:val="00040642"/>
    <w:rsid w:val="000448E5"/>
    <w:rsid w:val="00045E81"/>
    <w:rsid w:val="00047992"/>
    <w:rsid w:val="000508C8"/>
    <w:rsid w:val="00064A61"/>
    <w:rsid w:val="0008409F"/>
    <w:rsid w:val="00086538"/>
    <w:rsid w:val="00087CFE"/>
    <w:rsid w:val="0009440F"/>
    <w:rsid w:val="00094FC4"/>
    <w:rsid w:val="000A7995"/>
    <w:rsid w:val="000B0B49"/>
    <w:rsid w:val="000B77CD"/>
    <w:rsid w:val="000C0F06"/>
    <w:rsid w:val="000C3FED"/>
    <w:rsid w:val="000C55DA"/>
    <w:rsid w:val="000D41CD"/>
    <w:rsid w:val="000D60AF"/>
    <w:rsid w:val="000F7373"/>
    <w:rsid w:val="00112BB8"/>
    <w:rsid w:val="00114615"/>
    <w:rsid w:val="00121B8F"/>
    <w:rsid w:val="001260E1"/>
    <w:rsid w:val="00131F0F"/>
    <w:rsid w:val="00141919"/>
    <w:rsid w:val="001510DE"/>
    <w:rsid w:val="0016503A"/>
    <w:rsid w:val="001775EE"/>
    <w:rsid w:val="0018145E"/>
    <w:rsid w:val="001A2D2F"/>
    <w:rsid w:val="001A2EBB"/>
    <w:rsid w:val="001A5551"/>
    <w:rsid w:val="001A5B63"/>
    <w:rsid w:val="001B28FD"/>
    <w:rsid w:val="001C5819"/>
    <w:rsid w:val="001C6C5E"/>
    <w:rsid w:val="001C74FC"/>
    <w:rsid w:val="001D6BE1"/>
    <w:rsid w:val="001E0F84"/>
    <w:rsid w:val="001E20C7"/>
    <w:rsid w:val="001E2C77"/>
    <w:rsid w:val="001E3419"/>
    <w:rsid w:val="001E3E58"/>
    <w:rsid w:val="001E4B80"/>
    <w:rsid w:val="001E5D7F"/>
    <w:rsid w:val="001E69FF"/>
    <w:rsid w:val="001F02DD"/>
    <w:rsid w:val="001F2760"/>
    <w:rsid w:val="001F6D55"/>
    <w:rsid w:val="00213C2C"/>
    <w:rsid w:val="00235683"/>
    <w:rsid w:val="002445B5"/>
    <w:rsid w:val="00247536"/>
    <w:rsid w:val="002512C5"/>
    <w:rsid w:val="002648E4"/>
    <w:rsid w:val="00264EF2"/>
    <w:rsid w:val="00266591"/>
    <w:rsid w:val="00270AE2"/>
    <w:rsid w:val="00277481"/>
    <w:rsid w:val="00285425"/>
    <w:rsid w:val="00286FFA"/>
    <w:rsid w:val="002904DD"/>
    <w:rsid w:val="00297A93"/>
    <w:rsid w:val="002A1123"/>
    <w:rsid w:val="002B1B00"/>
    <w:rsid w:val="002B5710"/>
    <w:rsid w:val="002B5B92"/>
    <w:rsid w:val="002C134A"/>
    <w:rsid w:val="002C3C82"/>
    <w:rsid w:val="002D6359"/>
    <w:rsid w:val="002E1D40"/>
    <w:rsid w:val="002E42D2"/>
    <w:rsid w:val="002F733A"/>
    <w:rsid w:val="003107CB"/>
    <w:rsid w:val="0031428F"/>
    <w:rsid w:val="003175DF"/>
    <w:rsid w:val="0032002F"/>
    <w:rsid w:val="0032141A"/>
    <w:rsid w:val="00331349"/>
    <w:rsid w:val="00335461"/>
    <w:rsid w:val="0033691B"/>
    <w:rsid w:val="003444A6"/>
    <w:rsid w:val="00347372"/>
    <w:rsid w:val="0035386E"/>
    <w:rsid w:val="00357DC7"/>
    <w:rsid w:val="003625D8"/>
    <w:rsid w:val="00375466"/>
    <w:rsid w:val="00376D41"/>
    <w:rsid w:val="00393D5F"/>
    <w:rsid w:val="00395780"/>
    <w:rsid w:val="00396E20"/>
    <w:rsid w:val="003A3094"/>
    <w:rsid w:val="003B14D7"/>
    <w:rsid w:val="003B5A14"/>
    <w:rsid w:val="003D37E1"/>
    <w:rsid w:val="003D62F0"/>
    <w:rsid w:val="003E3D40"/>
    <w:rsid w:val="003E44BD"/>
    <w:rsid w:val="003F0DC9"/>
    <w:rsid w:val="003F3E11"/>
    <w:rsid w:val="00403CBD"/>
    <w:rsid w:val="004045BC"/>
    <w:rsid w:val="004119C3"/>
    <w:rsid w:val="00414234"/>
    <w:rsid w:val="00415AE9"/>
    <w:rsid w:val="00416ABB"/>
    <w:rsid w:val="0042162D"/>
    <w:rsid w:val="0042227C"/>
    <w:rsid w:val="00424B02"/>
    <w:rsid w:val="004419CA"/>
    <w:rsid w:val="004443F9"/>
    <w:rsid w:val="00447307"/>
    <w:rsid w:val="00463C93"/>
    <w:rsid w:val="00464DBA"/>
    <w:rsid w:val="00466539"/>
    <w:rsid w:val="00477702"/>
    <w:rsid w:val="004824BE"/>
    <w:rsid w:val="00484CF6"/>
    <w:rsid w:val="004901D8"/>
    <w:rsid w:val="004945F1"/>
    <w:rsid w:val="004A0C8B"/>
    <w:rsid w:val="004B281C"/>
    <w:rsid w:val="004C0B54"/>
    <w:rsid w:val="004D2C02"/>
    <w:rsid w:val="004E1879"/>
    <w:rsid w:val="004E59E4"/>
    <w:rsid w:val="004F1581"/>
    <w:rsid w:val="004F2666"/>
    <w:rsid w:val="004F6AB0"/>
    <w:rsid w:val="005071D6"/>
    <w:rsid w:val="00511481"/>
    <w:rsid w:val="005117FB"/>
    <w:rsid w:val="00514734"/>
    <w:rsid w:val="00537381"/>
    <w:rsid w:val="0054277A"/>
    <w:rsid w:val="00551CEE"/>
    <w:rsid w:val="00553C70"/>
    <w:rsid w:val="00555562"/>
    <w:rsid w:val="0057103B"/>
    <w:rsid w:val="0057273D"/>
    <w:rsid w:val="005729FB"/>
    <w:rsid w:val="00580ED3"/>
    <w:rsid w:val="00582D1E"/>
    <w:rsid w:val="005942B2"/>
    <w:rsid w:val="0059665C"/>
    <w:rsid w:val="005968D2"/>
    <w:rsid w:val="005C1FB6"/>
    <w:rsid w:val="005C542C"/>
    <w:rsid w:val="005D0C9C"/>
    <w:rsid w:val="005D1E56"/>
    <w:rsid w:val="005D300C"/>
    <w:rsid w:val="005E1F37"/>
    <w:rsid w:val="005E3D2E"/>
    <w:rsid w:val="005F11F1"/>
    <w:rsid w:val="005F5786"/>
    <w:rsid w:val="005F67A7"/>
    <w:rsid w:val="00620349"/>
    <w:rsid w:val="006351F3"/>
    <w:rsid w:val="00636B0B"/>
    <w:rsid w:val="00637337"/>
    <w:rsid w:val="00643F5E"/>
    <w:rsid w:val="0064491E"/>
    <w:rsid w:val="00646D25"/>
    <w:rsid w:val="006619B5"/>
    <w:rsid w:val="00672ED4"/>
    <w:rsid w:val="00683D1F"/>
    <w:rsid w:val="00683F7E"/>
    <w:rsid w:val="00691CAE"/>
    <w:rsid w:val="0069242B"/>
    <w:rsid w:val="00697133"/>
    <w:rsid w:val="006A3579"/>
    <w:rsid w:val="006B3B14"/>
    <w:rsid w:val="006B623F"/>
    <w:rsid w:val="006C3B44"/>
    <w:rsid w:val="006E411F"/>
    <w:rsid w:val="006E478C"/>
    <w:rsid w:val="006E7470"/>
    <w:rsid w:val="006E76C6"/>
    <w:rsid w:val="006F3B1B"/>
    <w:rsid w:val="006F7090"/>
    <w:rsid w:val="007052A3"/>
    <w:rsid w:val="00706A5D"/>
    <w:rsid w:val="00711F71"/>
    <w:rsid w:val="00716A05"/>
    <w:rsid w:val="00724158"/>
    <w:rsid w:val="0073038C"/>
    <w:rsid w:val="0073277F"/>
    <w:rsid w:val="00734600"/>
    <w:rsid w:val="00736200"/>
    <w:rsid w:val="00744311"/>
    <w:rsid w:val="00744E22"/>
    <w:rsid w:val="00745751"/>
    <w:rsid w:val="007503DC"/>
    <w:rsid w:val="0075127A"/>
    <w:rsid w:val="00753BF6"/>
    <w:rsid w:val="00762E29"/>
    <w:rsid w:val="00764607"/>
    <w:rsid w:val="00767E72"/>
    <w:rsid w:val="0077109E"/>
    <w:rsid w:val="00781048"/>
    <w:rsid w:val="007969D9"/>
    <w:rsid w:val="007A103C"/>
    <w:rsid w:val="007A6288"/>
    <w:rsid w:val="007A6645"/>
    <w:rsid w:val="007A6D8A"/>
    <w:rsid w:val="007B3B1E"/>
    <w:rsid w:val="007B3FE4"/>
    <w:rsid w:val="007B453D"/>
    <w:rsid w:val="007B5747"/>
    <w:rsid w:val="007C215C"/>
    <w:rsid w:val="007D1BFC"/>
    <w:rsid w:val="007D57D7"/>
    <w:rsid w:val="007D7D62"/>
    <w:rsid w:val="007E5AD4"/>
    <w:rsid w:val="007E5D80"/>
    <w:rsid w:val="007E6573"/>
    <w:rsid w:val="007F71F9"/>
    <w:rsid w:val="00802907"/>
    <w:rsid w:val="008059E4"/>
    <w:rsid w:val="00815E32"/>
    <w:rsid w:val="00816AD6"/>
    <w:rsid w:val="00822799"/>
    <w:rsid w:val="00822FDE"/>
    <w:rsid w:val="00825657"/>
    <w:rsid w:val="008261E3"/>
    <w:rsid w:val="0082621E"/>
    <w:rsid w:val="008276FE"/>
    <w:rsid w:val="00827B40"/>
    <w:rsid w:val="0083120F"/>
    <w:rsid w:val="008336DF"/>
    <w:rsid w:val="00852F12"/>
    <w:rsid w:val="008537CB"/>
    <w:rsid w:val="00863C9B"/>
    <w:rsid w:val="00864279"/>
    <w:rsid w:val="0086475C"/>
    <w:rsid w:val="00866990"/>
    <w:rsid w:val="00871A3F"/>
    <w:rsid w:val="008848AD"/>
    <w:rsid w:val="00887D74"/>
    <w:rsid w:val="00891EDE"/>
    <w:rsid w:val="00892735"/>
    <w:rsid w:val="00894690"/>
    <w:rsid w:val="008A241A"/>
    <w:rsid w:val="008B080B"/>
    <w:rsid w:val="008C0969"/>
    <w:rsid w:val="008C255E"/>
    <w:rsid w:val="008C4B24"/>
    <w:rsid w:val="008D02F0"/>
    <w:rsid w:val="008D6C23"/>
    <w:rsid w:val="008E053C"/>
    <w:rsid w:val="008E4691"/>
    <w:rsid w:val="008F245A"/>
    <w:rsid w:val="00906A19"/>
    <w:rsid w:val="00906D50"/>
    <w:rsid w:val="00910FD4"/>
    <w:rsid w:val="00922ABB"/>
    <w:rsid w:val="009401EA"/>
    <w:rsid w:val="0094463C"/>
    <w:rsid w:val="00950864"/>
    <w:rsid w:val="00950F40"/>
    <w:rsid w:val="00952102"/>
    <w:rsid w:val="00954182"/>
    <w:rsid w:val="00960A98"/>
    <w:rsid w:val="009740B4"/>
    <w:rsid w:val="00974CB1"/>
    <w:rsid w:val="00976B85"/>
    <w:rsid w:val="00980FCD"/>
    <w:rsid w:val="00982775"/>
    <w:rsid w:val="00986537"/>
    <w:rsid w:val="0099197F"/>
    <w:rsid w:val="00994824"/>
    <w:rsid w:val="00994A64"/>
    <w:rsid w:val="009A0987"/>
    <w:rsid w:val="009A2109"/>
    <w:rsid w:val="009A3BA0"/>
    <w:rsid w:val="009B11A7"/>
    <w:rsid w:val="009B73C8"/>
    <w:rsid w:val="009B778E"/>
    <w:rsid w:val="009C0DEF"/>
    <w:rsid w:val="009D1DF3"/>
    <w:rsid w:val="009E330C"/>
    <w:rsid w:val="00A01888"/>
    <w:rsid w:val="00A126D4"/>
    <w:rsid w:val="00A17AA2"/>
    <w:rsid w:val="00A21E46"/>
    <w:rsid w:val="00A24863"/>
    <w:rsid w:val="00A251E2"/>
    <w:rsid w:val="00A3063F"/>
    <w:rsid w:val="00A31AE6"/>
    <w:rsid w:val="00A40622"/>
    <w:rsid w:val="00A41FD7"/>
    <w:rsid w:val="00A442F1"/>
    <w:rsid w:val="00A44770"/>
    <w:rsid w:val="00A45B8E"/>
    <w:rsid w:val="00A46AF8"/>
    <w:rsid w:val="00A46EA3"/>
    <w:rsid w:val="00A73389"/>
    <w:rsid w:val="00A80857"/>
    <w:rsid w:val="00A87746"/>
    <w:rsid w:val="00A93D19"/>
    <w:rsid w:val="00AA198C"/>
    <w:rsid w:val="00AA4FB7"/>
    <w:rsid w:val="00AA5DB0"/>
    <w:rsid w:val="00AB7D79"/>
    <w:rsid w:val="00AC42CB"/>
    <w:rsid w:val="00AC6946"/>
    <w:rsid w:val="00AD3266"/>
    <w:rsid w:val="00AD5069"/>
    <w:rsid w:val="00AD5D6D"/>
    <w:rsid w:val="00AD5EDD"/>
    <w:rsid w:val="00AD5EE0"/>
    <w:rsid w:val="00AD6E64"/>
    <w:rsid w:val="00AE3F88"/>
    <w:rsid w:val="00AE4FD0"/>
    <w:rsid w:val="00AF07FB"/>
    <w:rsid w:val="00AF2B57"/>
    <w:rsid w:val="00B123F5"/>
    <w:rsid w:val="00B14FEF"/>
    <w:rsid w:val="00B21CAB"/>
    <w:rsid w:val="00B21E1D"/>
    <w:rsid w:val="00B312EF"/>
    <w:rsid w:val="00B31AD4"/>
    <w:rsid w:val="00B332D7"/>
    <w:rsid w:val="00B447A7"/>
    <w:rsid w:val="00B45D18"/>
    <w:rsid w:val="00B51388"/>
    <w:rsid w:val="00B64483"/>
    <w:rsid w:val="00B709A4"/>
    <w:rsid w:val="00B74014"/>
    <w:rsid w:val="00B74B8A"/>
    <w:rsid w:val="00B82454"/>
    <w:rsid w:val="00B83D50"/>
    <w:rsid w:val="00B95C0A"/>
    <w:rsid w:val="00BA3B8B"/>
    <w:rsid w:val="00BC1461"/>
    <w:rsid w:val="00BC5AC8"/>
    <w:rsid w:val="00BC620E"/>
    <w:rsid w:val="00BC75D2"/>
    <w:rsid w:val="00BD7B99"/>
    <w:rsid w:val="00BD7FCE"/>
    <w:rsid w:val="00BF02E7"/>
    <w:rsid w:val="00BF6F91"/>
    <w:rsid w:val="00C109C3"/>
    <w:rsid w:val="00C10AEC"/>
    <w:rsid w:val="00C16652"/>
    <w:rsid w:val="00C2035B"/>
    <w:rsid w:val="00C25610"/>
    <w:rsid w:val="00C34DFF"/>
    <w:rsid w:val="00C354A8"/>
    <w:rsid w:val="00C575E2"/>
    <w:rsid w:val="00C57F44"/>
    <w:rsid w:val="00C83E94"/>
    <w:rsid w:val="00C84CFA"/>
    <w:rsid w:val="00C85666"/>
    <w:rsid w:val="00C85BDA"/>
    <w:rsid w:val="00C86F4D"/>
    <w:rsid w:val="00C9156B"/>
    <w:rsid w:val="00CA5FA6"/>
    <w:rsid w:val="00CB6A2E"/>
    <w:rsid w:val="00CC0122"/>
    <w:rsid w:val="00CC0DAF"/>
    <w:rsid w:val="00CC20A0"/>
    <w:rsid w:val="00CC37AD"/>
    <w:rsid w:val="00CC4E02"/>
    <w:rsid w:val="00CD41CD"/>
    <w:rsid w:val="00CE1868"/>
    <w:rsid w:val="00CE27DC"/>
    <w:rsid w:val="00CE47CE"/>
    <w:rsid w:val="00CE51BA"/>
    <w:rsid w:val="00CF4D51"/>
    <w:rsid w:val="00CF614D"/>
    <w:rsid w:val="00CF6903"/>
    <w:rsid w:val="00D032A7"/>
    <w:rsid w:val="00D1407C"/>
    <w:rsid w:val="00D24AAC"/>
    <w:rsid w:val="00D332FD"/>
    <w:rsid w:val="00D4017A"/>
    <w:rsid w:val="00D409EF"/>
    <w:rsid w:val="00D40DA6"/>
    <w:rsid w:val="00D41691"/>
    <w:rsid w:val="00D42763"/>
    <w:rsid w:val="00D4396A"/>
    <w:rsid w:val="00D531A2"/>
    <w:rsid w:val="00D61A9C"/>
    <w:rsid w:val="00D7084B"/>
    <w:rsid w:val="00D71284"/>
    <w:rsid w:val="00D7269F"/>
    <w:rsid w:val="00D77283"/>
    <w:rsid w:val="00D7791F"/>
    <w:rsid w:val="00D83D64"/>
    <w:rsid w:val="00DA56BE"/>
    <w:rsid w:val="00DA69B1"/>
    <w:rsid w:val="00DB2820"/>
    <w:rsid w:val="00DB2D68"/>
    <w:rsid w:val="00DB51B3"/>
    <w:rsid w:val="00DB7748"/>
    <w:rsid w:val="00DC4669"/>
    <w:rsid w:val="00DD023E"/>
    <w:rsid w:val="00DD7B19"/>
    <w:rsid w:val="00DE148E"/>
    <w:rsid w:val="00DE1B5F"/>
    <w:rsid w:val="00DE4216"/>
    <w:rsid w:val="00DF5503"/>
    <w:rsid w:val="00E0177C"/>
    <w:rsid w:val="00E021CE"/>
    <w:rsid w:val="00E060F5"/>
    <w:rsid w:val="00E066DB"/>
    <w:rsid w:val="00E069DD"/>
    <w:rsid w:val="00E10795"/>
    <w:rsid w:val="00E145D0"/>
    <w:rsid w:val="00E14BA1"/>
    <w:rsid w:val="00E17500"/>
    <w:rsid w:val="00E26E50"/>
    <w:rsid w:val="00E32361"/>
    <w:rsid w:val="00E43EDF"/>
    <w:rsid w:val="00E508A5"/>
    <w:rsid w:val="00E5142D"/>
    <w:rsid w:val="00E51A41"/>
    <w:rsid w:val="00E55B39"/>
    <w:rsid w:val="00E56A91"/>
    <w:rsid w:val="00E57CF3"/>
    <w:rsid w:val="00E64585"/>
    <w:rsid w:val="00E6755C"/>
    <w:rsid w:val="00E726CC"/>
    <w:rsid w:val="00E72D76"/>
    <w:rsid w:val="00E75455"/>
    <w:rsid w:val="00E81773"/>
    <w:rsid w:val="00E8405D"/>
    <w:rsid w:val="00E84AD1"/>
    <w:rsid w:val="00EA00C5"/>
    <w:rsid w:val="00EA5932"/>
    <w:rsid w:val="00EA73B5"/>
    <w:rsid w:val="00EB145A"/>
    <w:rsid w:val="00EC4E4B"/>
    <w:rsid w:val="00EC7D90"/>
    <w:rsid w:val="00ED0838"/>
    <w:rsid w:val="00ED2109"/>
    <w:rsid w:val="00ED5755"/>
    <w:rsid w:val="00EE3200"/>
    <w:rsid w:val="00EF33F2"/>
    <w:rsid w:val="00EF67B9"/>
    <w:rsid w:val="00F06EBE"/>
    <w:rsid w:val="00F131FF"/>
    <w:rsid w:val="00F1507F"/>
    <w:rsid w:val="00F17756"/>
    <w:rsid w:val="00F20FFC"/>
    <w:rsid w:val="00F246BA"/>
    <w:rsid w:val="00F30D9B"/>
    <w:rsid w:val="00F36CE9"/>
    <w:rsid w:val="00F372AE"/>
    <w:rsid w:val="00F41ADF"/>
    <w:rsid w:val="00F50185"/>
    <w:rsid w:val="00F52E28"/>
    <w:rsid w:val="00F53784"/>
    <w:rsid w:val="00F6507B"/>
    <w:rsid w:val="00F67571"/>
    <w:rsid w:val="00F72A91"/>
    <w:rsid w:val="00F72D1E"/>
    <w:rsid w:val="00F80684"/>
    <w:rsid w:val="00F868AE"/>
    <w:rsid w:val="00F90E7B"/>
    <w:rsid w:val="00F92D64"/>
    <w:rsid w:val="00F93C10"/>
    <w:rsid w:val="00FA4035"/>
    <w:rsid w:val="00FB6916"/>
    <w:rsid w:val="00FC477B"/>
    <w:rsid w:val="00FD34C3"/>
    <w:rsid w:val="00FE6788"/>
    <w:rsid w:val="00FF4012"/>
    <w:rsid w:val="00FF4E2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083C763-C2C3-4AF0-B648-4A81BCB72B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47CE"/>
    <w:pPr>
      <w:spacing w:after="0" w:line="240" w:lineRule="auto"/>
    </w:pPr>
    <w:rPr>
      <w:rFonts w:ascii="Times New Roman" w:eastAsia="Times New Roman" w:hAnsi="Times New Roman" w:cs="Times New Roman"/>
      <w:sz w:val="24"/>
      <w:szCs w:val="24"/>
      <w:lang w:eastAsia="es-ES"/>
    </w:rPr>
  </w:style>
  <w:style w:type="paragraph" w:styleId="Titre1">
    <w:name w:val="heading 1"/>
    <w:basedOn w:val="Normal"/>
    <w:next w:val="Normal"/>
    <w:link w:val="Titre1Car"/>
    <w:uiPriority w:val="9"/>
    <w:qFormat/>
    <w:rsid w:val="00DD7B1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re7">
    <w:name w:val="heading 7"/>
    <w:basedOn w:val="Normal"/>
    <w:next w:val="Normal"/>
    <w:link w:val="Titre7Car"/>
    <w:uiPriority w:val="9"/>
    <w:semiHidden/>
    <w:unhideWhenUsed/>
    <w:qFormat/>
    <w:rsid w:val="00C34DFF"/>
    <w:pPr>
      <w:keepNext/>
      <w:keepLines/>
      <w:spacing w:before="40"/>
      <w:outlineLvl w:val="6"/>
    </w:pPr>
    <w:rPr>
      <w:rFonts w:asciiTheme="majorHAnsi" w:eastAsiaTheme="majorEastAsia" w:hAnsiTheme="majorHAnsi" w:cstheme="majorBidi"/>
      <w:i/>
      <w:iCs/>
      <w:color w:val="243F60" w:themeColor="accent1" w:themeShade="7F"/>
    </w:rPr>
  </w:style>
  <w:style w:type="paragraph" w:styleId="Titre8">
    <w:name w:val="heading 8"/>
    <w:basedOn w:val="Titre7"/>
    <w:next w:val="-LettreTexteGEDA"/>
    <w:link w:val="Titre8Car"/>
    <w:qFormat/>
    <w:rsid w:val="00C34DFF"/>
    <w:pPr>
      <w:numPr>
        <w:numId w:val="2"/>
      </w:numPr>
      <w:spacing w:before="180"/>
      <w:ind w:left="283" w:hanging="283"/>
      <w:outlineLvl w:val="7"/>
    </w:pPr>
    <w:rPr>
      <w:rFonts w:ascii="Times New Roman" w:eastAsia="Times New Roman" w:hAnsi="Times New Roman" w:cs="Arial"/>
      <w:i w:val="0"/>
      <w:iCs w:val="0"/>
      <w:color w:val="auto"/>
      <w:szCs w:val="20"/>
      <w:lang w:eastAsia="en-US"/>
    </w:rPr>
  </w:style>
  <w:style w:type="paragraph" w:styleId="Titre9">
    <w:name w:val="heading 9"/>
    <w:next w:val="-LettreTexteGEDA"/>
    <w:link w:val="Titre9Car"/>
    <w:qFormat/>
    <w:rsid w:val="00C34DFF"/>
    <w:pPr>
      <w:numPr>
        <w:numId w:val="3"/>
      </w:numPr>
      <w:spacing w:before="180" w:after="0" w:line="240" w:lineRule="auto"/>
      <w:jc w:val="both"/>
      <w:outlineLvl w:val="8"/>
    </w:pPr>
    <w:rPr>
      <w:rFonts w:ascii="Times New Roman" w:eastAsia="Times New Roman" w:hAnsi="Times New Roman" w:cs="Arial"/>
      <w:kern w:val="18"/>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unhideWhenUsed/>
    <w:rsid w:val="00CE47CE"/>
    <w:pPr>
      <w:tabs>
        <w:tab w:val="center" w:pos="4536"/>
        <w:tab w:val="right" w:pos="9072"/>
      </w:tabs>
    </w:pPr>
  </w:style>
  <w:style w:type="character" w:customStyle="1" w:styleId="PieddepageCar">
    <w:name w:val="Pied de page Car"/>
    <w:basedOn w:val="Policepardfaut"/>
    <w:link w:val="Pieddepage"/>
    <w:uiPriority w:val="99"/>
    <w:rsid w:val="00CE47CE"/>
    <w:rPr>
      <w:rFonts w:ascii="Times New Roman" w:eastAsia="Times New Roman" w:hAnsi="Times New Roman" w:cs="Times New Roman"/>
      <w:sz w:val="24"/>
      <w:szCs w:val="24"/>
      <w:lang w:eastAsia="es-ES"/>
    </w:rPr>
  </w:style>
  <w:style w:type="character" w:styleId="Lienhypertexte">
    <w:name w:val="Hyperlink"/>
    <w:basedOn w:val="Policepardfaut"/>
    <w:uiPriority w:val="99"/>
    <w:unhideWhenUsed/>
    <w:rsid w:val="00CE47CE"/>
    <w:rPr>
      <w:color w:val="0000FF" w:themeColor="hyperlink"/>
      <w:u w:val="single"/>
    </w:rPr>
  </w:style>
  <w:style w:type="character" w:styleId="Numrodepage">
    <w:name w:val="page number"/>
    <w:basedOn w:val="Policepardfaut"/>
    <w:uiPriority w:val="99"/>
    <w:semiHidden/>
    <w:unhideWhenUsed/>
    <w:rsid w:val="00CE47CE"/>
  </w:style>
  <w:style w:type="paragraph" w:customStyle="1" w:styleId="Standard">
    <w:name w:val="Standard"/>
    <w:rsid w:val="00CE47CE"/>
    <w:pPr>
      <w:suppressAutoHyphens/>
      <w:autoSpaceDN w:val="0"/>
      <w:textAlignment w:val="baseline"/>
    </w:pPr>
    <w:rPr>
      <w:rFonts w:ascii="Calibri" w:eastAsia="Arial Unicode MS" w:hAnsi="Calibri" w:cs="Tahoma"/>
      <w:kern w:val="3"/>
    </w:rPr>
  </w:style>
  <w:style w:type="paragraph" w:customStyle="1" w:styleId="-LettreObjetGEDA">
    <w:name w:val="- Lettre:Objet                GEDA"/>
    <w:next w:val="Normal"/>
    <w:link w:val="-LettreObjetGEDACar"/>
    <w:rsid w:val="00CE47CE"/>
    <w:pPr>
      <w:overflowPunct w:val="0"/>
      <w:autoSpaceDE w:val="0"/>
      <w:autoSpaceDN w:val="0"/>
      <w:adjustRightInd w:val="0"/>
      <w:spacing w:before="240" w:after="0" w:line="240" w:lineRule="auto"/>
      <w:ind w:left="851" w:hanging="851"/>
      <w:jc w:val="both"/>
      <w:textAlignment w:val="baseline"/>
    </w:pPr>
    <w:rPr>
      <w:rFonts w:ascii="Times New Roman" w:eastAsia="Times New Roman" w:hAnsi="Times New Roman" w:cs="Times New Roman"/>
      <w:noProof/>
      <w:sz w:val="24"/>
      <w:szCs w:val="20"/>
      <w:lang w:eastAsia="fr-FR"/>
    </w:rPr>
  </w:style>
  <w:style w:type="paragraph" w:styleId="Sansinterligne">
    <w:name w:val="No Spacing"/>
    <w:uiPriority w:val="1"/>
    <w:qFormat/>
    <w:rsid w:val="00CE47CE"/>
    <w:pPr>
      <w:spacing w:after="0" w:line="240" w:lineRule="auto"/>
    </w:pPr>
    <w:rPr>
      <w:rFonts w:ascii="Times New Roman" w:eastAsia="Times New Roman" w:hAnsi="Times New Roman" w:cs="Times New Roman"/>
      <w:sz w:val="24"/>
      <w:szCs w:val="24"/>
      <w:lang w:eastAsia="es-ES"/>
    </w:rPr>
  </w:style>
  <w:style w:type="character" w:customStyle="1" w:styleId="-LettreObjetGEDACar">
    <w:name w:val="- Lettre:Objet                GEDA Car"/>
    <w:basedOn w:val="Policepardfaut"/>
    <w:link w:val="-LettreObjetGEDA"/>
    <w:locked/>
    <w:rsid w:val="00CE47CE"/>
    <w:rPr>
      <w:rFonts w:ascii="Times New Roman" w:eastAsia="Times New Roman" w:hAnsi="Times New Roman" w:cs="Times New Roman"/>
      <w:noProof/>
      <w:sz w:val="24"/>
      <w:szCs w:val="20"/>
      <w:lang w:eastAsia="fr-FR"/>
    </w:rPr>
  </w:style>
  <w:style w:type="paragraph" w:customStyle="1" w:styleId="-LettreTexteGEDA">
    <w:name w:val="- Lettre:Texte                GEDA"/>
    <w:link w:val="-LettreTexteGEDACar"/>
    <w:qFormat/>
    <w:rsid w:val="00CE47CE"/>
    <w:pPr>
      <w:overflowPunct w:val="0"/>
      <w:autoSpaceDE w:val="0"/>
      <w:autoSpaceDN w:val="0"/>
      <w:adjustRightInd w:val="0"/>
      <w:spacing w:before="120" w:after="0" w:line="240" w:lineRule="auto"/>
      <w:ind w:firstLine="851"/>
      <w:jc w:val="both"/>
      <w:textAlignment w:val="baseline"/>
    </w:pPr>
    <w:rPr>
      <w:rFonts w:ascii="Times New Roman" w:eastAsia="Times New Roman" w:hAnsi="Times New Roman" w:cs="Times New Roman"/>
      <w:noProof/>
      <w:sz w:val="24"/>
      <w:szCs w:val="20"/>
      <w:lang w:eastAsia="fr-FR"/>
    </w:rPr>
  </w:style>
  <w:style w:type="character" w:customStyle="1" w:styleId="-LettreTexteGEDACar">
    <w:name w:val="- Lettre:Texte                GEDA Car"/>
    <w:basedOn w:val="Policepardfaut"/>
    <w:link w:val="-LettreTexteGEDA"/>
    <w:locked/>
    <w:rsid w:val="00CE47CE"/>
    <w:rPr>
      <w:rFonts w:ascii="Times New Roman" w:eastAsia="Times New Roman" w:hAnsi="Times New Roman" w:cs="Times New Roman"/>
      <w:noProof/>
      <w:sz w:val="24"/>
      <w:szCs w:val="20"/>
      <w:lang w:eastAsia="fr-FR"/>
    </w:rPr>
  </w:style>
  <w:style w:type="paragraph" w:styleId="NormalWeb">
    <w:name w:val="Normal (Web)"/>
    <w:basedOn w:val="Normal"/>
    <w:uiPriority w:val="99"/>
    <w:unhideWhenUsed/>
    <w:rsid w:val="00CE47CE"/>
    <w:pPr>
      <w:spacing w:before="100" w:beforeAutospacing="1" w:after="100" w:afterAutospacing="1"/>
    </w:pPr>
    <w:rPr>
      <w:lang w:eastAsia="fr-FR"/>
    </w:rPr>
  </w:style>
  <w:style w:type="paragraph" w:styleId="Titre">
    <w:name w:val="Title"/>
    <w:next w:val="-LettreTexteGEDA"/>
    <w:link w:val="TitreCar"/>
    <w:qFormat/>
    <w:rsid w:val="00CE47CE"/>
    <w:pPr>
      <w:spacing w:before="180" w:after="0" w:line="240" w:lineRule="auto"/>
      <w:jc w:val="center"/>
      <w:outlineLvl w:val="0"/>
    </w:pPr>
    <w:rPr>
      <w:rFonts w:ascii="Times New Roman" w:eastAsia="Times New Roman" w:hAnsi="Times New Roman" w:cs="Arial"/>
      <w:b/>
      <w:bCs/>
      <w:caps/>
      <w:spacing w:val="60"/>
      <w:kern w:val="28"/>
      <w:sz w:val="24"/>
      <w:szCs w:val="32"/>
      <w:u w:val="thick"/>
    </w:rPr>
  </w:style>
  <w:style w:type="character" w:customStyle="1" w:styleId="TitreCar">
    <w:name w:val="Titre Car"/>
    <w:basedOn w:val="Policepardfaut"/>
    <w:link w:val="Titre"/>
    <w:uiPriority w:val="10"/>
    <w:rsid w:val="00CE47CE"/>
    <w:rPr>
      <w:rFonts w:ascii="Times New Roman" w:eastAsia="Times New Roman" w:hAnsi="Times New Roman" w:cs="Arial"/>
      <w:b/>
      <w:bCs/>
      <w:caps/>
      <w:spacing w:val="60"/>
      <w:kern w:val="28"/>
      <w:sz w:val="24"/>
      <w:szCs w:val="32"/>
      <w:u w:val="thick"/>
    </w:rPr>
  </w:style>
  <w:style w:type="paragraph" w:customStyle="1" w:styleId="-LettreSuiteORefPJGEDA">
    <w:name w:val="- Lettre:Suite O/Ref/PJ GEDA"/>
    <w:rsid w:val="00E6755C"/>
    <w:pPr>
      <w:overflowPunct w:val="0"/>
      <w:autoSpaceDE w:val="0"/>
      <w:autoSpaceDN w:val="0"/>
      <w:adjustRightInd w:val="0"/>
      <w:spacing w:after="0" w:line="240" w:lineRule="auto"/>
      <w:ind w:left="851"/>
      <w:jc w:val="both"/>
      <w:textAlignment w:val="baseline"/>
    </w:pPr>
    <w:rPr>
      <w:rFonts w:ascii="Times New Roman" w:eastAsia="Times New Roman" w:hAnsi="Times New Roman" w:cs="Times New Roman"/>
      <w:noProof/>
      <w:sz w:val="24"/>
      <w:szCs w:val="20"/>
      <w:lang w:eastAsia="fr-FR"/>
    </w:rPr>
  </w:style>
  <w:style w:type="paragraph" w:customStyle="1" w:styleId="-LettrePJGEDA">
    <w:name w:val="- Lettre:P.J.                  GEDA"/>
    <w:basedOn w:val="-LettreObjetGEDA"/>
    <w:next w:val="-LettreSuiteORefPJGEDA"/>
    <w:rsid w:val="00E6755C"/>
    <w:pPr>
      <w:spacing w:before="80"/>
    </w:pPr>
  </w:style>
  <w:style w:type="paragraph" w:styleId="Paragraphedeliste">
    <w:name w:val="List Paragraph"/>
    <w:basedOn w:val="Normal"/>
    <w:link w:val="ParagraphedelisteCar"/>
    <w:qFormat/>
    <w:rsid w:val="00E6755C"/>
    <w:pPr>
      <w:spacing w:after="200" w:line="276" w:lineRule="auto"/>
      <w:ind w:left="720"/>
      <w:contextualSpacing/>
    </w:pPr>
    <w:rPr>
      <w:rFonts w:ascii="Calibri" w:eastAsia="Calibri" w:hAnsi="Calibri"/>
      <w:sz w:val="22"/>
      <w:szCs w:val="22"/>
      <w:lang w:eastAsia="en-US"/>
    </w:rPr>
  </w:style>
  <w:style w:type="paragraph" w:styleId="En-tte">
    <w:name w:val="header"/>
    <w:basedOn w:val="Normal"/>
    <w:link w:val="En-tteCar"/>
    <w:uiPriority w:val="99"/>
    <w:semiHidden/>
    <w:unhideWhenUsed/>
    <w:rsid w:val="00852F12"/>
    <w:rPr>
      <w:rFonts w:eastAsiaTheme="minorHAnsi"/>
      <w:lang w:eastAsia="fr-FR"/>
    </w:rPr>
  </w:style>
  <w:style w:type="character" w:customStyle="1" w:styleId="En-tteCar">
    <w:name w:val="En-tête Car"/>
    <w:basedOn w:val="Policepardfaut"/>
    <w:link w:val="En-tte"/>
    <w:uiPriority w:val="99"/>
    <w:semiHidden/>
    <w:rsid w:val="00852F12"/>
    <w:rPr>
      <w:rFonts w:ascii="Times New Roman" w:hAnsi="Times New Roman" w:cs="Times New Roman"/>
      <w:sz w:val="24"/>
      <w:szCs w:val="24"/>
      <w:lang w:eastAsia="fr-FR"/>
    </w:rPr>
  </w:style>
  <w:style w:type="paragraph" w:customStyle="1" w:styleId="-ConventionPrambuleGEDA">
    <w:name w:val="- Convention:Préambule           GEDA"/>
    <w:rsid w:val="00A93D19"/>
    <w:pPr>
      <w:spacing w:before="60" w:after="0" w:line="240" w:lineRule="auto"/>
      <w:ind w:firstLine="340"/>
      <w:jc w:val="both"/>
    </w:pPr>
    <w:rPr>
      <w:rFonts w:ascii="Times New Roman" w:eastAsia="Times New Roman" w:hAnsi="Times New Roman" w:cs="Times New Roman"/>
      <w:sz w:val="24"/>
      <w:szCs w:val="20"/>
      <w:lang w:eastAsia="fr-FR"/>
    </w:rPr>
  </w:style>
  <w:style w:type="paragraph" w:customStyle="1" w:styleId="-LettrehDestinataireadGEDA">
    <w:name w:val="- Lettre:h_Destinataire (ad)GEDA"/>
    <w:basedOn w:val="Normal"/>
    <w:rsid w:val="00A93D19"/>
    <w:pPr>
      <w:overflowPunct w:val="0"/>
      <w:autoSpaceDE w:val="0"/>
      <w:autoSpaceDN w:val="0"/>
      <w:adjustRightInd w:val="0"/>
      <w:jc w:val="center"/>
      <w:textAlignment w:val="baseline"/>
    </w:pPr>
    <w:rPr>
      <w:b/>
      <w:noProof/>
      <w:szCs w:val="20"/>
      <w:lang w:eastAsia="fr-FR"/>
    </w:rPr>
  </w:style>
  <w:style w:type="paragraph" w:styleId="Corpsdetexte">
    <w:name w:val="Body Text"/>
    <w:basedOn w:val="Normal"/>
    <w:link w:val="CorpsdetexteCar"/>
    <w:uiPriority w:val="99"/>
    <w:semiHidden/>
    <w:unhideWhenUsed/>
    <w:rsid w:val="00A93D19"/>
    <w:pPr>
      <w:spacing w:after="120"/>
    </w:pPr>
    <w:rPr>
      <w:lang w:eastAsia="fr-FR"/>
    </w:rPr>
  </w:style>
  <w:style w:type="character" w:customStyle="1" w:styleId="CorpsdetexteCar">
    <w:name w:val="Corps de texte Car"/>
    <w:basedOn w:val="Policepardfaut"/>
    <w:link w:val="Corpsdetexte"/>
    <w:uiPriority w:val="99"/>
    <w:semiHidden/>
    <w:rsid w:val="00A93D19"/>
    <w:rPr>
      <w:rFonts w:ascii="Times New Roman" w:eastAsia="Times New Roman" w:hAnsi="Times New Roman" w:cs="Times New Roman"/>
      <w:sz w:val="24"/>
      <w:szCs w:val="24"/>
      <w:lang w:eastAsia="fr-FR"/>
    </w:rPr>
  </w:style>
  <w:style w:type="paragraph" w:customStyle="1" w:styleId="-ActeAttenduVuGEDA">
    <w:name w:val="- Acte:Attendu (Vu)                 GEDA"/>
    <w:rsid w:val="00C34DFF"/>
    <w:pPr>
      <w:numPr>
        <w:numId w:val="1"/>
      </w:numPr>
      <w:overflowPunct w:val="0"/>
      <w:autoSpaceDE w:val="0"/>
      <w:autoSpaceDN w:val="0"/>
      <w:adjustRightInd w:val="0"/>
      <w:spacing w:before="180" w:after="0" w:line="240" w:lineRule="auto"/>
      <w:jc w:val="both"/>
      <w:textAlignment w:val="baseline"/>
    </w:pPr>
    <w:rPr>
      <w:rFonts w:ascii="Times New Roman" w:eastAsia="Times New Roman" w:hAnsi="Times New Roman" w:cs="Times New Roman"/>
      <w:sz w:val="20"/>
      <w:szCs w:val="20"/>
      <w:lang w:eastAsia="fr-FR"/>
    </w:rPr>
  </w:style>
  <w:style w:type="character" w:customStyle="1" w:styleId="Titre8Car">
    <w:name w:val="Titre 8 Car"/>
    <w:basedOn w:val="Policepardfaut"/>
    <w:link w:val="Titre8"/>
    <w:rsid w:val="00C34DFF"/>
    <w:rPr>
      <w:rFonts w:ascii="Times New Roman" w:eastAsia="Times New Roman" w:hAnsi="Times New Roman" w:cs="Arial"/>
      <w:sz w:val="24"/>
      <w:szCs w:val="20"/>
    </w:rPr>
  </w:style>
  <w:style w:type="character" w:customStyle="1" w:styleId="Titre9Car">
    <w:name w:val="Titre 9 Car"/>
    <w:basedOn w:val="Policepardfaut"/>
    <w:link w:val="Titre9"/>
    <w:rsid w:val="00C34DFF"/>
    <w:rPr>
      <w:rFonts w:ascii="Times New Roman" w:eastAsia="Times New Roman" w:hAnsi="Times New Roman" w:cs="Arial"/>
      <w:kern w:val="18"/>
      <w:sz w:val="24"/>
    </w:rPr>
  </w:style>
  <w:style w:type="character" w:customStyle="1" w:styleId="Titre7Car">
    <w:name w:val="Titre 7 Car"/>
    <w:basedOn w:val="Policepardfaut"/>
    <w:link w:val="Titre7"/>
    <w:uiPriority w:val="9"/>
    <w:semiHidden/>
    <w:rsid w:val="00C34DFF"/>
    <w:rPr>
      <w:rFonts w:asciiTheme="majorHAnsi" w:eastAsiaTheme="majorEastAsia" w:hAnsiTheme="majorHAnsi" w:cstheme="majorBidi"/>
      <w:i/>
      <w:iCs/>
      <w:color w:val="243F60" w:themeColor="accent1" w:themeShade="7F"/>
      <w:sz w:val="24"/>
      <w:szCs w:val="24"/>
      <w:lang w:eastAsia="es-ES"/>
    </w:rPr>
  </w:style>
  <w:style w:type="character" w:styleId="lev">
    <w:name w:val="Strong"/>
    <w:basedOn w:val="Policepardfaut"/>
    <w:uiPriority w:val="22"/>
    <w:qFormat/>
    <w:rsid w:val="007A6288"/>
    <w:rPr>
      <w:b/>
      <w:bCs/>
    </w:rPr>
  </w:style>
  <w:style w:type="paragraph" w:customStyle="1" w:styleId="gmail-m-117888043849725832-lettretextegeda">
    <w:name w:val="gmail-m_-117888043849725832-lettretextegeda"/>
    <w:basedOn w:val="Normal"/>
    <w:rsid w:val="003444A6"/>
    <w:pPr>
      <w:spacing w:before="100" w:beforeAutospacing="1" w:after="100" w:afterAutospacing="1"/>
    </w:pPr>
    <w:rPr>
      <w:lang w:eastAsia="fr-FR"/>
    </w:rPr>
  </w:style>
  <w:style w:type="character" w:customStyle="1" w:styleId="verdana">
    <w:name w:val="verdana"/>
    <w:basedOn w:val="Policepardfaut"/>
    <w:rsid w:val="00922ABB"/>
  </w:style>
  <w:style w:type="paragraph" w:styleId="Textedebulles">
    <w:name w:val="Balloon Text"/>
    <w:basedOn w:val="Normal"/>
    <w:link w:val="TextedebullesCar"/>
    <w:uiPriority w:val="99"/>
    <w:semiHidden/>
    <w:unhideWhenUsed/>
    <w:rsid w:val="0042227C"/>
    <w:rPr>
      <w:rFonts w:ascii="Tahoma" w:hAnsi="Tahoma" w:cs="Tahoma"/>
      <w:sz w:val="16"/>
      <w:szCs w:val="16"/>
    </w:rPr>
  </w:style>
  <w:style w:type="character" w:customStyle="1" w:styleId="TextedebullesCar">
    <w:name w:val="Texte de bulles Car"/>
    <w:basedOn w:val="Policepardfaut"/>
    <w:link w:val="Textedebulles"/>
    <w:uiPriority w:val="99"/>
    <w:semiHidden/>
    <w:rsid w:val="0042227C"/>
    <w:rPr>
      <w:rFonts w:ascii="Tahoma" w:eastAsia="Times New Roman" w:hAnsi="Tahoma" w:cs="Tahoma"/>
      <w:sz w:val="16"/>
      <w:szCs w:val="16"/>
      <w:lang w:eastAsia="es-ES"/>
    </w:rPr>
  </w:style>
  <w:style w:type="paragraph" w:customStyle="1" w:styleId="-LettreTexteespacGEDA">
    <w:name w:val="- Lettre:Texte espacé    GEDA"/>
    <w:basedOn w:val="-LettreTexteGEDA"/>
    <w:next w:val="-LettreTexteGEDA"/>
    <w:rsid w:val="009401EA"/>
    <w:pPr>
      <w:spacing w:before="360"/>
    </w:pPr>
  </w:style>
  <w:style w:type="paragraph" w:customStyle="1" w:styleId="-LettreTitreGEDA">
    <w:name w:val="- Lettre:Titre                 GEDA"/>
    <w:rsid w:val="00F246BA"/>
    <w:pPr>
      <w:pBdr>
        <w:top w:val="single" w:sz="6" w:space="1" w:color="auto"/>
        <w:left w:val="single" w:sz="6" w:space="1" w:color="auto"/>
        <w:bottom w:val="single" w:sz="6" w:space="1" w:color="auto"/>
        <w:right w:val="single" w:sz="6" w:space="1" w:color="auto"/>
      </w:pBdr>
      <w:overflowPunct w:val="0"/>
      <w:autoSpaceDE w:val="0"/>
      <w:autoSpaceDN w:val="0"/>
      <w:adjustRightInd w:val="0"/>
      <w:spacing w:before="360" w:after="360" w:line="240" w:lineRule="auto"/>
      <w:jc w:val="center"/>
      <w:textAlignment w:val="baseline"/>
    </w:pPr>
    <w:rPr>
      <w:rFonts w:ascii="Times New Roman" w:eastAsia="Times New Roman" w:hAnsi="Times New Roman" w:cs="Times New Roman"/>
      <w:b/>
      <w:noProof/>
      <w:sz w:val="28"/>
      <w:szCs w:val="20"/>
      <w:lang w:eastAsia="fr-FR"/>
    </w:rPr>
  </w:style>
  <w:style w:type="paragraph" w:customStyle="1" w:styleId="Corps">
    <w:name w:val="Corps"/>
    <w:rsid w:val="004B281C"/>
    <w:pPr>
      <w:pBdr>
        <w:top w:val="nil"/>
        <w:left w:val="nil"/>
        <w:bottom w:val="nil"/>
        <w:right w:val="nil"/>
        <w:between w:val="nil"/>
        <w:bar w:val="nil"/>
      </w:pBdr>
      <w:spacing w:after="0" w:line="240" w:lineRule="auto"/>
    </w:pPr>
    <w:rPr>
      <w:rFonts w:ascii="Times" w:eastAsia="Arial Unicode MS" w:hAnsi="Times" w:cs="Arial Unicode MS"/>
      <w:color w:val="000000"/>
      <w:sz w:val="24"/>
      <w:szCs w:val="24"/>
      <w:u w:color="000000"/>
      <w:bdr w:val="nil"/>
      <w:lang w:eastAsia="fr-FR"/>
    </w:rPr>
  </w:style>
  <w:style w:type="paragraph" w:styleId="Retraitcorpsdetexte">
    <w:name w:val="Body Text Indent"/>
    <w:basedOn w:val="Normal"/>
    <w:link w:val="RetraitcorpsdetexteCar"/>
    <w:uiPriority w:val="99"/>
    <w:unhideWhenUsed/>
    <w:rsid w:val="00822FDE"/>
    <w:pPr>
      <w:spacing w:after="120"/>
      <w:ind w:left="283"/>
    </w:pPr>
  </w:style>
  <w:style w:type="character" w:customStyle="1" w:styleId="RetraitcorpsdetexteCar">
    <w:name w:val="Retrait corps de texte Car"/>
    <w:basedOn w:val="Policepardfaut"/>
    <w:link w:val="Retraitcorpsdetexte"/>
    <w:uiPriority w:val="99"/>
    <w:rsid w:val="00822FDE"/>
    <w:rPr>
      <w:rFonts w:ascii="Times New Roman" w:eastAsia="Times New Roman" w:hAnsi="Times New Roman" w:cs="Times New Roman"/>
      <w:sz w:val="24"/>
      <w:szCs w:val="24"/>
      <w:lang w:eastAsia="es-ES"/>
    </w:rPr>
  </w:style>
  <w:style w:type="paragraph" w:customStyle="1" w:styleId="-lettretextegeda0">
    <w:name w:val="-lettretextegeda"/>
    <w:basedOn w:val="Normal"/>
    <w:rsid w:val="00247536"/>
    <w:pPr>
      <w:spacing w:before="100" w:beforeAutospacing="1" w:after="100" w:afterAutospacing="1"/>
    </w:pPr>
    <w:rPr>
      <w:lang w:eastAsia="fr-FR"/>
    </w:rPr>
  </w:style>
  <w:style w:type="character" w:customStyle="1" w:styleId="st">
    <w:name w:val="st"/>
    <w:basedOn w:val="Policepardfaut"/>
    <w:rsid w:val="00264EF2"/>
  </w:style>
  <w:style w:type="character" w:customStyle="1" w:styleId="cmddetails">
    <w:name w:val="cmd_details"/>
    <w:basedOn w:val="Policepardfaut"/>
    <w:rsid w:val="00264EF2"/>
  </w:style>
  <w:style w:type="character" w:styleId="Accentuation">
    <w:name w:val="Emphasis"/>
    <w:basedOn w:val="Policepardfaut"/>
    <w:uiPriority w:val="20"/>
    <w:qFormat/>
    <w:rsid w:val="00264EF2"/>
    <w:rPr>
      <w:i/>
      <w:iCs/>
    </w:rPr>
  </w:style>
  <w:style w:type="paragraph" w:customStyle="1" w:styleId="-acteattenduvugeda0">
    <w:name w:val="-acteattenduvugeda"/>
    <w:basedOn w:val="Normal"/>
    <w:rsid w:val="00264EF2"/>
    <w:pPr>
      <w:spacing w:before="100" w:beforeAutospacing="1" w:after="100" w:afterAutospacing="1"/>
    </w:pPr>
    <w:rPr>
      <w:rFonts w:eastAsiaTheme="minorHAnsi"/>
      <w:color w:val="000000"/>
      <w:lang w:eastAsia="fr-FR"/>
    </w:rPr>
  </w:style>
  <w:style w:type="paragraph" w:customStyle="1" w:styleId="-DiversLigneinvisibleGEDA">
    <w:name w:val="- Divers:Ligne invisible   GEDA"/>
    <w:basedOn w:val="Normal"/>
    <w:rsid w:val="00264EF2"/>
    <w:pPr>
      <w:overflowPunct w:val="0"/>
      <w:autoSpaceDE w:val="0"/>
      <w:autoSpaceDN w:val="0"/>
    </w:pPr>
    <w:rPr>
      <w:rFonts w:eastAsiaTheme="minorHAnsi"/>
      <w:vanish/>
      <w:sz w:val="2"/>
      <w:szCs w:val="2"/>
      <w:lang w:eastAsia="fr-FR"/>
    </w:rPr>
  </w:style>
  <w:style w:type="character" w:customStyle="1" w:styleId="ParagraphedelisteCar">
    <w:name w:val="Paragraphe de liste Car"/>
    <w:basedOn w:val="Policepardfaut"/>
    <w:link w:val="Paragraphedeliste"/>
    <w:uiPriority w:val="34"/>
    <w:rsid w:val="00BD7B99"/>
    <w:rPr>
      <w:rFonts w:ascii="Calibri" w:eastAsia="Calibri" w:hAnsi="Calibri" w:cs="Times New Roman"/>
    </w:rPr>
  </w:style>
  <w:style w:type="paragraph" w:customStyle="1" w:styleId="-EnteteTitreGEDA">
    <w:name w:val="- Entete:Titre                GEDA"/>
    <w:basedOn w:val="Normal"/>
    <w:rsid w:val="00D531A2"/>
    <w:pPr>
      <w:pBdr>
        <w:bottom w:val="single" w:sz="6" w:space="14" w:color="auto"/>
      </w:pBdr>
      <w:overflowPunct w:val="0"/>
      <w:autoSpaceDE w:val="0"/>
      <w:autoSpaceDN w:val="0"/>
      <w:adjustRightInd w:val="0"/>
      <w:spacing w:after="140"/>
      <w:jc w:val="center"/>
      <w:textAlignment w:val="baseline"/>
    </w:pPr>
    <w:rPr>
      <w:rFonts w:ascii="Bookman Old Style" w:hAnsi="Bookman Old Style"/>
      <w:caps/>
      <w:spacing w:val="80"/>
      <w:sz w:val="20"/>
      <w:szCs w:val="20"/>
      <w:lang w:eastAsia="fr-FR"/>
    </w:rPr>
  </w:style>
  <w:style w:type="paragraph" w:styleId="Notedebasdepage">
    <w:name w:val="footnote text"/>
    <w:basedOn w:val="Normal"/>
    <w:link w:val="NotedebasdepageCar"/>
    <w:uiPriority w:val="99"/>
    <w:semiHidden/>
    <w:unhideWhenUsed/>
    <w:rsid w:val="00825657"/>
    <w:rPr>
      <w:rFonts w:eastAsiaTheme="minorHAnsi"/>
      <w:sz w:val="20"/>
      <w:szCs w:val="20"/>
      <w:lang w:eastAsia="en-US"/>
    </w:rPr>
  </w:style>
  <w:style w:type="character" w:customStyle="1" w:styleId="NotedebasdepageCar">
    <w:name w:val="Note de bas de page Car"/>
    <w:basedOn w:val="Policepardfaut"/>
    <w:link w:val="Notedebasdepage"/>
    <w:uiPriority w:val="99"/>
    <w:semiHidden/>
    <w:rsid w:val="00825657"/>
    <w:rPr>
      <w:rFonts w:ascii="Times New Roman" w:hAnsi="Times New Roman" w:cs="Times New Roman"/>
      <w:sz w:val="20"/>
      <w:szCs w:val="20"/>
    </w:rPr>
  </w:style>
  <w:style w:type="character" w:styleId="Appelnotedebasdep">
    <w:name w:val="footnote reference"/>
    <w:basedOn w:val="Policepardfaut"/>
    <w:uiPriority w:val="99"/>
    <w:semiHidden/>
    <w:unhideWhenUsed/>
    <w:rsid w:val="00825657"/>
    <w:rPr>
      <w:vertAlign w:val="superscript"/>
    </w:rPr>
  </w:style>
  <w:style w:type="paragraph" w:customStyle="1" w:styleId="-ActeArticlecontenuGEDA">
    <w:name w:val="- Acte:Article (contenu)           GEDA"/>
    <w:rsid w:val="00EB145A"/>
    <w:pPr>
      <w:numPr>
        <w:numId w:val="4"/>
      </w:numPr>
      <w:spacing w:before="60" w:after="0" w:line="240" w:lineRule="auto"/>
      <w:jc w:val="both"/>
    </w:pPr>
    <w:rPr>
      <w:rFonts w:ascii="Times New Roman" w:eastAsia="Times New Roman" w:hAnsi="Times New Roman" w:cs="Times New Roman"/>
      <w:sz w:val="24"/>
      <w:szCs w:val="20"/>
      <w:lang w:eastAsia="fr-FR"/>
    </w:rPr>
  </w:style>
  <w:style w:type="paragraph" w:styleId="Listepuces">
    <w:name w:val="List Bullet"/>
    <w:aliases w:val="List 1,Enum1"/>
    <w:basedOn w:val="Normal"/>
    <w:uiPriority w:val="3"/>
    <w:semiHidden/>
    <w:unhideWhenUsed/>
    <w:qFormat/>
    <w:rsid w:val="00974CB1"/>
    <w:pPr>
      <w:spacing w:after="200" w:line="276" w:lineRule="auto"/>
    </w:pPr>
    <w:rPr>
      <w:rFonts w:asciiTheme="minorHAnsi" w:eastAsiaTheme="minorHAnsi" w:hAnsiTheme="minorHAnsi" w:cstheme="minorBidi"/>
      <w:sz w:val="22"/>
      <w:szCs w:val="22"/>
      <w:lang w:eastAsia="en-US"/>
    </w:rPr>
  </w:style>
  <w:style w:type="paragraph" w:customStyle="1" w:styleId="Pardfaut">
    <w:name w:val="Par défaut"/>
    <w:rsid w:val="00F80684"/>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lang w:eastAsia="fr-FR"/>
    </w:rPr>
  </w:style>
  <w:style w:type="paragraph" w:styleId="Corpsdetexte2">
    <w:name w:val="Body Text 2"/>
    <w:basedOn w:val="Normal"/>
    <w:link w:val="Corpsdetexte2Car"/>
    <w:uiPriority w:val="99"/>
    <w:semiHidden/>
    <w:unhideWhenUsed/>
    <w:rsid w:val="002D6359"/>
    <w:pPr>
      <w:spacing w:after="120" w:line="480" w:lineRule="auto"/>
    </w:pPr>
  </w:style>
  <w:style w:type="character" w:customStyle="1" w:styleId="Corpsdetexte2Car">
    <w:name w:val="Corps de texte 2 Car"/>
    <w:basedOn w:val="Policepardfaut"/>
    <w:link w:val="Corpsdetexte2"/>
    <w:uiPriority w:val="99"/>
    <w:semiHidden/>
    <w:rsid w:val="002D6359"/>
    <w:rPr>
      <w:rFonts w:ascii="Times New Roman" w:eastAsia="Times New Roman" w:hAnsi="Times New Roman" w:cs="Times New Roman"/>
      <w:sz w:val="24"/>
      <w:szCs w:val="24"/>
      <w:lang w:eastAsia="es-ES"/>
    </w:rPr>
  </w:style>
  <w:style w:type="paragraph" w:customStyle="1" w:styleId="Default">
    <w:name w:val="Default"/>
    <w:rsid w:val="00982775"/>
    <w:pPr>
      <w:autoSpaceDE w:val="0"/>
      <w:autoSpaceDN w:val="0"/>
      <w:adjustRightInd w:val="0"/>
      <w:spacing w:after="0" w:line="240" w:lineRule="auto"/>
    </w:pPr>
    <w:rPr>
      <w:rFonts w:ascii="Times New Roman" w:eastAsia="Times New Roman" w:hAnsi="Times New Roman" w:cs="Times New Roman"/>
      <w:color w:val="000000"/>
      <w:sz w:val="24"/>
      <w:szCs w:val="24"/>
      <w:lang w:eastAsia="fr-FR"/>
    </w:rPr>
  </w:style>
  <w:style w:type="character" w:customStyle="1" w:styleId="5yl5">
    <w:name w:val="_5yl5"/>
    <w:basedOn w:val="Policepardfaut"/>
    <w:rsid w:val="00514734"/>
  </w:style>
  <w:style w:type="character" w:customStyle="1" w:styleId="Titre1Car">
    <w:name w:val="Titre 1 Car"/>
    <w:basedOn w:val="Policepardfaut"/>
    <w:link w:val="Titre1"/>
    <w:uiPriority w:val="9"/>
    <w:rsid w:val="00DD7B19"/>
    <w:rPr>
      <w:rFonts w:asciiTheme="majorHAnsi" w:eastAsiaTheme="majorEastAsia" w:hAnsiTheme="majorHAnsi" w:cstheme="majorBidi"/>
      <w:b/>
      <w:bCs/>
      <w:color w:val="365F91" w:themeColor="accent1" w:themeShade="BF"/>
      <w:sz w:val="28"/>
      <w:szCs w:val="28"/>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192629">
      <w:bodyDiv w:val="1"/>
      <w:marLeft w:val="0"/>
      <w:marRight w:val="0"/>
      <w:marTop w:val="0"/>
      <w:marBottom w:val="0"/>
      <w:divBdr>
        <w:top w:val="none" w:sz="0" w:space="0" w:color="auto"/>
        <w:left w:val="none" w:sz="0" w:space="0" w:color="auto"/>
        <w:bottom w:val="none" w:sz="0" w:space="0" w:color="auto"/>
        <w:right w:val="none" w:sz="0" w:space="0" w:color="auto"/>
      </w:divBdr>
    </w:div>
    <w:div w:id="36249696">
      <w:bodyDiv w:val="1"/>
      <w:marLeft w:val="0"/>
      <w:marRight w:val="0"/>
      <w:marTop w:val="0"/>
      <w:marBottom w:val="0"/>
      <w:divBdr>
        <w:top w:val="none" w:sz="0" w:space="0" w:color="auto"/>
        <w:left w:val="none" w:sz="0" w:space="0" w:color="auto"/>
        <w:bottom w:val="none" w:sz="0" w:space="0" w:color="auto"/>
        <w:right w:val="none" w:sz="0" w:space="0" w:color="auto"/>
      </w:divBdr>
    </w:div>
    <w:div w:id="70272455">
      <w:bodyDiv w:val="1"/>
      <w:marLeft w:val="0"/>
      <w:marRight w:val="0"/>
      <w:marTop w:val="0"/>
      <w:marBottom w:val="0"/>
      <w:divBdr>
        <w:top w:val="none" w:sz="0" w:space="0" w:color="auto"/>
        <w:left w:val="none" w:sz="0" w:space="0" w:color="auto"/>
        <w:bottom w:val="none" w:sz="0" w:space="0" w:color="auto"/>
        <w:right w:val="none" w:sz="0" w:space="0" w:color="auto"/>
      </w:divBdr>
    </w:div>
    <w:div w:id="122356157">
      <w:bodyDiv w:val="1"/>
      <w:marLeft w:val="0"/>
      <w:marRight w:val="0"/>
      <w:marTop w:val="0"/>
      <w:marBottom w:val="0"/>
      <w:divBdr>
        <w:top w:val="none" w:sz="0" w:space="0" w:color="auto"/>
        <w:left w:val="none" w:sz="0" w:space="0" w:color="auto"/>
        <w:bottom w:val="none" w:sz="0" w:space="0" w:color="auto"/>
        <w:right w:val="none" w:sz="0" w:space="0" w:color="auto"/>
      </w:divBdr>
    </w:div>
    <w:div w:id="138622221">
      <w:bodyDiv w:val="1"/>
      <w:marLeft w:val="0"/>
      <w:marRight w:val="0"/>
      <w:marTop w:val="0"/>
      <w:marBottom w:val="0"/>
      <w:divBdr>
        <w:top w:val="none" w:sz="0" w:space="0" w:color="auto"/>
        <w:left w:val="none" w:sz="0" w:space="0" w:color="auto"/>
        <w:bottom w:val="none" w:sz="0" w:space="0" w:color="auto"/>
        <w:right w:val="none" w:sz="0" w:space="0" w:color="auto"/>
      </w:divBdr>
    </w:div>
    <w:div w:id="178011378">
      <w:bodyDiv w:val="1"/>
      <w:marLeft w:val="0"/>
      <w:marRight w:val="0"/>
      <w:marTop w:val="0"/>
      <w:marBottom w:val="0"/>
      <w:divBdr>
        <w:top w:val="none" w:sz="0" w:space="0" w:color="auto"/>
        <w:left w:val="none" w:sz="0" w:space="0" w:color="auto"/>
        <w:bottom w:val="none" w:sz="0" w:space="0" w:color="auto"/>
        <w:right w:val="none" w:sz="0" w:space="0" w:color="auto"/>
      </w:divBdr>
    </w:div>
    <w:div w:id="211160140">
      <w:bodyDiv w:val="1"/>
      <w:marLeft w:val="0"/>
      <w:marRight w:val="0"/>
      <w:marTop w:val="0"/>
      <w:marBottom w:val="0"/>
      <w:divBdr>
        <w:top w:val="none" w:sz="0" w:space="0" w:color="auto"/>
        <w:left w:val="none" w:sz="0" w:space="0" w:color="auto"/>
        <w:bottom w:val="none" w:sz="0" w:space="0" w:color="auto"/>
        <w:right w:val="none" w:sz="0" w:space="0" w:color="auto"/>
      </w:divBdr>
    </w:div>
    <w:div w:id="242298577">
      <w:bodyDiv w:val="1"/>
      <w:marLeft w:val="0"/>
      <w:marRight w:val="0"/>
      <w:marTop w:val="0"/>
      <w:marBottom w:val="0"/>
      <w:divBdr>
        <w:top w:val="none" w:sz="0" w:space="0" w:color="auto"/>
        <w:left w:val="none" w:sz="0" w:space="0" w:color="auto"/>
        <w:bottom w:val="none" w:sz="0" w:space="0" w:color="auto"/>
        <w:right w:val="none" w:sz="0" w:space="0" w:color="auto"/>
      </w:divBdr>
    </w:div>
    <w:div w:id="268662804">
      <w:bodyDiv w:val="1"/>
      <w:marLeft w:val="0"/>
      <w:marRight w:val="0"/>
      <w:marTop w:val="0"/>
      <w:marBottom w:val="0"/>
      <w:divBdr>
        <w:top w:val="none" w:sz="0" w:space="0" w:color="auto"/>
        <w:left w:val="none" w:sz="0" w:space="0" w:color="auto"/>
        <w:bottom w:val="none" w:sz="0" w:space="0" w:color="auto"/>
        <w:right w:val="none" w:sz="0" w:space="0" w:color="auto"/>
      </w:divBdr>
    </w:div>
    <w:div w:id="287274897">
      <w:bodyDiv w:val="1"/>
      <w:marLeft w:val="0"/>
      <w:marRight w:val="0"/>
      <w:marTop w:val="0"/>
      <w:marBottom w:val="0"/>
      <w:divBdr>
        <w:top w:val="none" w:sz="0" w:space="0" w:color="auto"/>
        <w:left w:val="none" w:sz="0" w:space="0" w:color="auto"/>
        <w:bottom w:val="none" w:sz="0" w:space="0" w:color="auto"/>
        <w:right w:val="none" w:sz="0" w:space="0" w:color="auto"/>
      </w:divBdr>
    </w:div>
    <w:div w:id="319699831">
      <w:bodyDiv w:val="1"/>
      <w:marLeft w:val="0"/>
      <w:marRight w:val="0"/>
      <w:marTop w:val="0"/>
      <w:marBottom w:val="0"/>
      <w:divBdr>
        <w:top w:val="none" w:sz="0" w:space="0" w:color="auto"/>
        <w:left w:val="none" w:sz="0" w:space="0" w:color="auto"/>
        <w:bottom w:val="none" w:sz="0" w:space="0" w:color="auto"/>
        <w:right w:val="none" w:sz="0" w:space="0" w:color="auto"/>
      </w:divBdr>
    </w:div>
    <w:div w:id="321468983">
      <w:bodyDiv w:val="1"/>
      <w:marLeft w:val="0"/>
      <w:marRight w:val="0"/>
      <w:marTop w:val="0"/>
      <w:marBottom w:val="0"/>
      <w:divBdr>
        <w:top w:val="none" w:sz="0" w:space="0" w:color="auto"/>
        <w:left w:val="none" w:sz="0" w:space="0" w:color="auto"/>
        <w:bottom w:val="none" w:sz="0" w:space="0" w:color="auto"/>
        <w:right w:val="none" w:sz="0" w:space="0" w:color="auto"/>
      </w:divBdr>
    </w:div>
    <w:div w:id="328097447">
      <w:bodyDiv w:val="1"/>
      <w:marLeft w:val="0"/>
      <w:marRight w:val="0"/>
      <w:marTop w:val="0"/>
      <w:marBottom w:val="0"/>
      <w:divBdr>
        <w:top w:val="none" w:sz="0" w:space="0" w:color="auto"/>
        <w:left w:val="none" w:sz="0" w:space="0" w:color="auto"/>
        <w:bottom w:val="none" w:sz="0" w:space="0" w:color="auto"/>
        <w:right w:val="none" w:sz="0" w:space="0" w:color="auto"/>
      </w:divBdr>
    </w:div>
    <w:div w:id="354889368">
      <w:bodyDiv w:val="1"/>
      <w:marLeft w:val="0"/>
      <w:marRight w:val="0"/>
      <w:marTop w:val="0"/>
      <w:marBottom w:val="0"/>
      <w:divBdr>
        <w:top w:val="none" w:sz="0" w:space="0" w:color="auto"/>
        <w:left w:val="none" w:sz="0" w:space="0" w:color="auto"/>
        <w:bottom w:val="none" w:sz="0" w:space="0" w:color="auto"/>
        <w:right w:val="none" w:sz="0" w:space="0" w:color="auto"/>
      </w:divBdr>
    </w:div>
    <w:div w:id="377516563">
      <w:bodyDiv w:val="1"/>
      <w:marLeft w:val="0"/>
      <w:marRight w:val="0"/>
      <w:marTop w:val="0"/>
      <w:marBottom w:val="0"/>
      <w:divBdr>
        <w:top w:val="none" w:sz="0" w:space="0" w:color="auto"/>
        <w:left w:val="none" w:sz="0" w:space="0" w:color="auto"/>
        <w:bottom w:val="none" w:sz="0" w:space="0" w:color="auto"/>
        <w:right w:val="none" w:sz="0" w:space="0" w:color="auto"/>
      </w:divBdr>
    </w:div>
    <w:div w:id="397829230">
      <w:bodyDiv w:val="1"/>
      <w:marLeft w:val="0"/>
      <w:marRight w:val="0"/>
      <w:marTop w:val="0"/>
      <w:marBottom w:val="0"/>
      <w:divBdr>
        <w:top w:val="none" w:sz="0" w:space="0" w:color="auto"/>
        <w:left w:val="none" w:sz="0" w:space="0" w:color="auto"/>
        <w:bottom w:val="none" w:sz="0" w:space="0" w:color="auto"/>
        <w:right w:val="none" w:sz="0" w:space="0" w:color="auto"/>
      </w:divBdr>
    </w:div>
    <w:div w:id="399063910">
      <w:bodyDiv w:val="1"/>
      <w:marLeft w:val="0"/>
      <w:marRight w:val="0"/>
      <w:marTop w:val="0"/>
      <w:marBottom w:val="0"/>
      <w:divBdr>
        <w:top w:val="none" w:sz="0" w:space="0" w:color="auto"/>
        <w:left w:val="none" w:sz="0" w:space="0" w:color="auto"/>
        <w:bottom w:val="none" w:sz="0" w:space="0" w:color="auto"/>
        <w:right w:val="none" w:sz="0" w:space="0" w:color="auto"/>
      </w:divBdr>
    </w:div>
    <w:div w:id="425854381">
      <w:bodyDiv w:val="1"/>
      <w:marLeft w:val="0"/>
      <w:marRight w:val="0"/>
      <w:marTop w:val="0"/>
      <w:marBottom w:val="0"/>
      <w:divBdr>
        <w:top w:val="none" w:sz="0" w:space="0" w:color="auto"/>
        <w:left w:val="none" w:sz="0" w:space="0" w:color="auto"/>
        <w:bottom w:val="none" w:sz="0" w:space="0" w:color="auto"/>
        <w:right w:val="none" w:sz="0" w:space="0" w:color="auto"/>
      </w:divBdr>
    </w:div>
    <w:div w:id="432821695">
      <w:bodyDiv w:val="1"/>
      <w:marLeft w:val="0"/>
      <w:marRight w:val="0"/>
      <w:marTop w:val="0"/>
      <w:marBottom w:val="0"/>
      <w:divBdr>
        <w:top w:val="none" w:sz="0" w:space="0" w:color="auto"/>
        <w:left w:val="none" w:sz="0" w:space="0" w:color="auto"/>
        <w:bottom w:val="none" w:sz="0" w:space="0" w:color="auto"/>
        <w:right w:val="none" w:sz="0" w:space="0" w:color="auto"/>
      </w:divBdr>
    </w:div>
    <w:div w:id="455683210">
      <w:bodyDiv w:val="1"/>
      <w:marLeft w:val="0"/>
      <w:marRight w:val="0"/>
      <w:marTop w:val="0"/>
      <w:marBottom w:val="0"/>
      <w:divBdr>
        <w:top w:val="none" w:sz="0" w:space="0" w:color="auto"/>
        <w:left w:val="none" w:sz="0" w:space="0" w:color="auto"/>
        <w:bottom w:val="none" w:sz="0" w:space="0" w:color="auto"/>
        <w:right w:val="none" w:sz="0" w:space="0" w:color="auto"/>
      </w:divBdr>
    </w:div>
    <w:div w:id="465855325">
      <w:bodyDiv w:val="1"/>
      <w:marLeft w:val="0"/>
      <w:marRight w:val="0"/>
      <w:marTop w:val="0"/>
      <w:marBottom w:val="0"/>
      <w:divBdr>
        <w:top w:val="none" w:sz="0" w:space="0" w:color="auto"/>
        <w:left w:val="none" w:sz="0" w:space="0" w:color="auto"/>
        <w:bottom w:val="none" w:sz="0" w:space="0" w:color="auto"/>
        <w:right w:val="none" w:sz="0" w:space="0" w:color="auto"/>
      </w:divBdr>
    </w:div>
    <w:div w:id="483934463">
      <w:bodyDiv w:val="1"/>
      <w:marLeft w:val="0"/>
      <w:marRight w:val="0"/>
      <w:marTop w:val="0"/>
      <w:marBottom w:val="0"/>
      <w:divBdr>
        <w:top w:val="none" w:sz="0" w:space="0" w:color="auto"/>
        <w:left w:val="none" w:sz="0" w:space="0" w:color="auto"/>
        <w:bottom w:val="none" w:sz="0" w:space="0" w:color="auto"/>
        <w:right w:val="none" w:sz="0" w:space="0" w:color="auto"/>
      </w:divBdr>
    </w:div>
    <w:div w:id="538737681">
      <w:bodyDiv w:val="1"/>
      <w:marLeft w:val="0"/>
      <w:marRight w:val="0"/>
      <w:marTop w:val="0"/>
      <w:marBottom w:val="0"/>
      <w:divBdr>
        <w:top w:val="none" w:sz="0" w:space="0" w:color="auto"/>
        <w:left w:val="none" w:sz="0" w:space="0" w:color="auto"/>
        <w:bottom w:val="none" w:sz="0" w:space="0" w:color="auto"/>
        <w:right w:val="none" w:sz="0" w:space="0" w:color="auto"/>
      </w:divBdr>
    </w:div>
    <w:div w:id="541556659">
      <w:bodyDiv w:val="1"/>
      <w:marLeft w:val="0"/>
      <w:marRight w:val="0"/>
      <w:marTop w:val="0"/>
      <w:marBottom w:val="0"/>
      <w:divBdr>
        <w:top w:val="none" w:sz="0" w:space="0" w:color="auto"/>
        <w:left w:val="none" w:sz="0" w:space="0" w:color="auto"/>
        <w:bottom w:val="none" w:sz="0" w:space="0" w:color="auto"/>
        <w:right w:val="none" w:sz="0" w:space="0" w:color="auto"/>
      </w:divBdr>
    </w:div>
    <w:div w:id="572204557">
      <w:bodyDiv w:val="1"/>
      <w:marLeft w:val="0"/>
      <w:marRight w:val="0"/>
      <w:marTop w:val="0"/>
      <w:marBottom w:val="0"/>
      <w:divBdr>
        <w:top w:val="none" w:sz="0" w:space="0" w:color="auto"/>
        <w:left w:val="none" w:sz="0" w:space="0" w:color="auto"/>
        <w:bottom w:val="none" w:sz="0" w:space="0" w:color="auto"/>
        <w:right w:val="none" w:sz="0" w:space="0" w:color="auto"/>
      </w:divBdr>
    </w:div>
    <w:div w:id="593318301">
      <w:bodyDiv w:val="1"/>
      <w:marLeft w:val="0"/>
      <w:marRight w:val="0"/>
      <w:marTop w:val="0"/>
      <w:marBottom w:val="0"/>
      <w:divBdr>
        <w:top w:val="none" w:sz="0" w:space="0" w:color="auto"/>
        <w:left w:val="none" w:sz="0" w:space="0" w:color="auto"/>
        <w:bottom w:val="none" w:sz="0" w:space="0" w:color="auto"/>
        <w:right w:val="none" w:sz="0" w:space="0" w:color="auto"/>
      </w:divBdr>
    </w:div>
    <w:div w:id="598561953">
      <w:bodyDiv w:val="1"/>
      <w:marLeft w:val="0"/>
      <w:marRight w:val="0"/>
      <w:marTop w:val="0"/>
      <w:marBottom w:val="0"/>
      <w:divBdr>
        <w:top w:val="none" w:sz="0" w:space="0" w:color="auto"/>
        <w:left w:val="none" w:sz="0" w:space="0" w:color="auto"/>
        <w:bottom w:val="none" w:sz="0" w:space="0" w:color="auto"/>
        <w:right w:val="none" w:sz="0" w:space="0" w:color="auto"/>
      </w:divBdr>
    </w:div>
    <w:div w:id="680814434">
      <w:bodyDiv w:val="1"/>
      <w:marLeft w:val="0"/>
      <w:marRight w:val="0"/>
      <w:marTop w:val="0"/>
      <w:marBottom w:val="0"/>
      <w:divBdr>
        <w:top w:val="none" w:sz="0" w:space="0" w:color="auto"/>
        <w:left w:val="none" w:sz="0" w:space="0" w:color="auto"/>
        <w:bottom w:val="none" w:sz="0" w:space="0" w:color="auto"/>
        <w:right w:val="none" w:sz="0" w:space="0" w:color="auto"/>
      </w:divBdr>
    </w:div>
    <w:div w:id="696002390">
      <w:bodyDiv w:val="1"/>
      <w:marLeft w:val="0"/>
      <w:marRight w:val="0"/>
      <w:marTop w:val="0"/>
      <w:marBottom w:val="0"/>
      <w:divBdr>
        <w:top w:val="none" w:sz="0" w:space="0" w:color="auto"/>
        <w:left w:val="none" w:sz="0" w:space="0" w:color="auto"/>
        <w:bottom w:val="none" w:sz="0" w:space="0" w:color="auto"/>
        <w:right w:val="none" w:sz="0" w:space="0" w:color="auto"/>
      </w:divBdr>
    </w:div>
    <w:div w:id="699090129">
      <w:bodyDiv w:val="1"/>
      <w:marLeft w:val="0"/>
      <w:marRight w:val="0"/>
      <w:marTop w:val="0"/>
      <w:marBottom w:val="0"/>
      <w:divBdr>
        <w:top w:val="none" w:sz="0" w:space="0" w:color="auto"/>
        <w:left w:val="none" w:sz="0" w:space="0" w:color="auto"/>
        <w:bottom w:val="none" w:sz="0" w:space="0" w:color="auto"/>
        <w:right w:val="none" w:sz="0" w:space="0" w:color="auto"/>
      </w:divBdr>
    </w:div>
    <w:div w:id="727530447">
      <w:bodyDiv w:val="1"/>
      <w:marLeft w:val="0"/>
      <w:marRight w:val="0"/>
      <w:marTop w:val="0"/>
      <w:marBottom w:val="0"/>
      <w:divBdr>
        <w:top w:val="none" w:sz="0" w:space="0" w:color="auto"/>
        <w:left w:val="none" w:sz="0" w:space="0" w:color="auto"/>
        <w:bottom w:val="none" w:sz="0" w:space="0" w:color="auto"/>
        <w:right w:val="none" w:sz="0" w:space="0" w:color="auto"/>
      </w:divBdr>
    </w:div>
    <w:div w:id="882668452">
      <w:bodyDiv w:val="1"/>
      <w:marLeft w:val="0"/>
      <w:marRight w:val="0"/>
      <w:marTop w:val="0"/>
      <w:marBottom w:val="0"/>
      <w:divBdr>
        <w:top w:val="none" w:sz="0" w:space="0" w:color="auto"/>
        <w:left w:val="none" w:sz="0" w:space="0" w:color="auto"/>
        <w:bottom w:val="none" w:sz="0" w:space="0" w:color="auto"/>
        <w:right w:val="none" w:sz="0" w:space="0" w:color="auto"/>
      </w:divBdr>
    </w:div>
    <w:div w:id="884095966">
      <w:bodyDiv w:val="1"/>
      <w:marLeft w:val="0"/>
      <w:marRight w:val="0"/>
      <w:marTop w:val="0"/>
      <w:marBottom w:val="0"/>
      <w:divBdr>
        <w:top w:val="none" w:sz="0" w:space="0" w:color="auto"/>
        <w:left w:val="none" w:sz="0" w:space="0" w:color="auto"/>
        <w:bottom w:val="none" w:sz="0" w:space="0" w:color="auto"/>
        <w:right w:val="none" w:sz="0" w:space="0" w:color="auto"/>
      </w:divBdr>
    </w:div>
    <w:div w:id="928318652">
      <w:bodyDiv w:val="1"/>
      <w:marLeft w:val="0"/>
      <w:marRight w:val="0"/>
      <w:marTop w:val="0"/>
      <w:marBottom w:val="0"/>
      <w:divBdr>
        <w:top w:val="none" w:sz="0" w:space="0" w:color="auto"/>
        <w:left w:val="none" w:sz="0" w:space="0" w:color="auto"/>
        <w:bottom w:val="none" w:sz="0" w:space="0" w:color="auto"/>
        <w:right w:val="none" w:sz="0" w:space="0" w:color="auto"/>
      </w:divBdr>
    </w:div>
    <w:div w:id="946348967">
      <w:bodyDiv w:val="1"/>
      <w:marLeft w:val="0"/>
      <w:marRight w:val="0"/>
      <w:marTop w:val="0"/>
      <w:marBottom w:val="0"/>
      <w:divBdr>
        <w:top w:val="none" w:sz="0" w:space="0" w:color="auto"/>
        <w:left w:val="none" w:sz="0" w:space="0" w:color="auto"/>
        <w:bottom w:val="none" w:sz="0" w:space="0" w:color="auto"/>
        <w:right w:val="none" w:sz="0" w:space="0" w:color="auto"/>
      </w:divBdr>
    </w:div>
    <w:div w:id="947926583">
      <w:bodyDiv w:val="1"/>
      <w:marLeft w:val="0"/>
      <w:marRight w:val="0"/>
      <w:marTop w:val="0"/>
      <w:marBottom w:val="0"/>
      <w:divBdr>
        <w:top w:val="none" w:sz="0" w:space="0" w:color="auto"/>
        <w:left w:val="none" w:sz="0" w:space="0" w:color="auto"/>
        <w:bottom w:val="none" w:sz="0" w:space="0" w:color="auto"/>
        <w:right w:val="none" w:sz="0" w:space="0" w:color="auto"/>
      </w:divBdr>
    </w:div>
    <w:div w:id="977035242">
      <w:bodyDiv w:val="1"/>
      <w:marLeft w:val="0"/>
      <w:marRight w:val="0"/>
      <w:marTop w:val="0"/>
      <w:marBottom w:val="0"/>
      <w:divBdr>
        <w:top w:val="none" w:sz="0" w:space="0" w:color="auto"/>
        <w:left w:val="none" w:sz="0" w:space="0" w:color="auto"/>
        <w:bottom w:val="none" w:sz="0" w:space="0" w:color="auto"/>
        <w:right w:val="none" w:sz="0" w:space="0" w:color="auto"/>
      </w:divBdr>
    </w:div>
    <w:div w:id="1155880753">
      <w:bodyDiv w:val="1"/>
      <w:marLeft w:val="0"/>
      <w:marRight w:val="0"/>
      <w:marTop w:val="0"/>
      <w:marBottom w:val="0"/>
      <w:divBdr>
        <w:top w:val="none" w:sz="0" w:space="0" w:color="auto"/>
        <w:left w:val="none" w:sz="0" w:space="0" w:color="auto"/>
        <w:bottom w:val="none" w:sz="0" w:space="0" w:color="auto"/>
        <w:right w:val="none" w:sz="0" w:space="0" w:color="auto"/>
      </w:divBdr>
    </w:div>
    <w:div w:id="1170412793">
      <w:bodyDiv w:val="1"/>
      <w:marLeft w:val="0"/>
      <w:marRight w:val="0"/>
      <w:marTop w:val="0"/>
      <w:marBottom w:val="0"/>
      <w:divBdr>
        <w:top w:val="none" w:sz="0" w:space="0" w:color="auto"/>
        <w:left w:val="none" w:sz="0" w:space="0" w:color="auto"/>
        <w:bottom w:val="none" w:sz="0" w:space="0" w:color="auto"/>
        <w:right w:val="none" w:sz="0" w:space="0" w:color="auto"/>
      </w:divBdr>
    </w:div>
    <w:div w:id="1217085433">
      <w:bodyDiv w:val="1"/>
      <w:marLeft w:val="0"/>
      <w:marRight w:val="0"/>
      <w:marTop w:val="0"/>
      <w:marBottom w:val="0"/>
      <w:divBdr>
        <w:top w:val="none" w:sz="0" w:space="0" w:color="auto"/>
        <w:left w:val="none" w:sz="0" w:space="0" w:color="auto"/>
        <w:bottom w:val="none" w:sz="0" w:space="0" w:color="auto"/>
        <w:right w:val="none" w:sz="0" w:space="0" w:color="auto"/>
      </w:divBdr>
    </w:div>
    <w:div w:id="1290089651">
      <w:bodyDiv w:val="1"/>
      <w:marLeft w:val="0"/>
      <w:marRight w:val="0"/>
      <w:marTop w:val="0"/>
      <w:marBottom w:val="0"/>
      <w:divBdr>
        <w:top w:val="none" w:sz="0" w:space="0" w:color="auto"/>
        <w:left w:val="none" w:sz="0" w:space="0" w:color="auto"/>
        <w:bottom w:val="none" w:sz="0" w:space="0" w:color="auto"/>
        <w:right w:val="none" w:sz="0" w:space="0" w:color="auto"/>
      </w:divBdr>
    </w:div>
    <w:div w:id="1293901679">
      <w:bodyDiv w:val="1"/>
      <w:marLeft w:val="0"/>
      <w:marRight w:val="0"/>
      <w:marTop w:val="0"/>
      <w:marBottom w:val="0"/>
      <w:divBdr>
        <w:top w:val="none" w:sz="0" w:space="0" w:color="auto"/>
        <w:left w:val="none" w:sz="0" w:space="0" w:color="auto"/>
        <w:bottom w:val="none" w:sz="0" w:space="0" w:color="auto"/>
        <w:right w:val="none" w:sz="0" w:space="0" w:color="auto"/>
      </w:divBdr>
    </w:div>
    <w:div w:id="1301887408">
      <w:bodyDiv w:val="1"/>
      <w:marLeft w:val="0"/>
      <w:marRight w:val="0"/>
      <w:marTop w:val="0"/>
      <w:marBottom w:val="0"/>
      <w:divBdr>
        <w:top w:val="none" w:sz="0" w:space="0" w:color="auto"/>
        <w:left w:val="none" w:sz="0" w:space="0" w:color="auto"/>
        <w:bottom w:val="none" w:sz="0" w:space="0" w:color="auto"/>
        <w:right w:val="none" w:sz="0" w:space="0" w:color="auto"/>
      </w:divBdr>
    </w:div>
    <w:div w:id="1342514144">
      <w:bodyDiv w:val="1"/>
      <w:marLeft w:val="0"/>
      <w:marRight w:val="0"/>
      <w:marTop w:val="0"/>
      <w:marBottom w:val="0"/>
      <w:divBdr>
        <w:top w:val="none" w:sz="0" w:space="0" w:color="auto"/>
        <w:left w:val="none" w:sz="0" w:space="0" w:color="auto"/>
        <w:bottom w:val="none" w:sz="0" w:space="0" w:color="auto"/>
        <w:right w:val="none" w:sz="0" w:space="0" w:color="auto"/>
      </w:divBdr>
    </w:div>
    <w:div w:id="1371882372">
      <w:bodyDiv w:val="1"/>
      <w:marLeft w:val="0"/>
      <w:marRight w:val="0"/>
      <w:marTop w:val="0"/>
      <w:marBottom w:val="0"/>
      <w:divBdr>
        <w:top w:val="none" w:sz="0" w:space="0" w:color="auto"/>
        <w:left w:val="none" w:sz="0" w:space="0" w:color="auto"/>
        <w:bottom w:val="none" w:sz="0" w:space="0" w:color="auto"/>
        <w:right w:val="none" w:sz="0" w:space="0" w:color="auto"/>
      </w:divBdr>
    </w:div>
    <w:div w:id="1394083987">
      <w:bodyDiv w:val="1"/>
      <w:marLeft w:val="0"/>
      <w:marRight w:val="0"/>
      <w:marTop w:val="0"/>
      <w:marBottom w:val="0"/>
      <w:divBdr>
        <w:top w:val="none" w:sz="0" w:space="0" w:color="auto"/>
        <w:left w:val="none" w:sz="0" w:space="0" w:color="auto"/>
        <w:bottom w:val="none" w:sz="0" w:space="0" w:color="auto"/>
        <w:right w:val="none" w:sz="0" w:space="0" w:color="auto"/>
      </w:divBdr>
    </w:div>
    <w:div w:id="1399092743">
      <w:bodyDiv w:val="1"/>
      <w:marLeft w:val="0"/>
      <w:marRight w:val="0"/>
      <w:marTop w:val="0"/>
      <w:marBottom w:val="0"/>
      <w:divBdr>
        <w:top w:val="none" w:sz="0" w:space="0" w:color="auto"/>
        <w:left w:val="none" w:sz="0" w:space="0" w:color="auto"/>
        <w:bottom w:val="none" w:sz="0" w:space="0" w:color="auto"/>
        <w:right w:val="none" w:sz="0" w:space="0" w:color="auto"/>
      </w:divBdr>
    </w:div>
    <w:div w:id="1414276314">
      <w:bodyDiv w:val="1"/>
      <w:marLeft w:val="0"/>
      <w:marRight w:val="0"/>
      <w:marTop w:val="0"/>
      <w:marBottom w:val="0"/>
      <w:divBdr>
        <w:top w:val="none" w:sz="0" w:space="0" w:color="auto"/>
        <w:left w:val="none" w:sz="0" w:space="0" w:color="auto"/>
        <w:bottom w:val="none" w:sz="0" w:space="0" w:color="auto"/>
        <w:right w:val="none" w:sz="0" w:space="0" w:color="auto"/>
      </w:divBdr>
    </w:div>
    <w:div w:id="1415973647">
      <w:bodyDiv w:val="1"/>
      <w:marLeft w:val="0"/>
      <w:marRight w:val="0"/>
      <w:marTop w:val="0"/>
      <w:marBottom w:val="0"/>
      <w:divBdr>
        <w:top w:val="none" w:sz="0" w:space="0" w:color="auto"/>
        <w:left w:val="none" w:sz="0" w:space="0" w:color="auto"/>
        <w:bottom w:val="none" w:sz="0" w:space="0" w:color="auto"/>
        <w:right w:val="none" w:sz="0" w:space="0" w:color="auto"/>
      </w:divBdr>
    </w:div>
    <w:div w:id="1416321101">
      <w:bodyDiv w:val="1"/>
      <w:marLeft w:val="0"/>
      <w:marRight w:val="0"/>
      <w:marTop w:val="0"/>
      <w:marBottom w:val="0"/>
      <w:divBdr>
        <w:top w:val="none" w:sz="0" w:space="0" w:color="auto"/>
        <w:left w:val="none" w:sz="0" w:space="0" w:color="auto"/>
        <w:bottom w:val="none" w:sz="0" w:space="0" w:color="auto"/>
        <w:right w:val="none" w:sz="0" w:space="0" w:color="auto"/>
      </w:divBdr>
    </w:div>
    <w:div w:id="1431315204">
      <w:bodyDiv w:val="1"/>
      <w:marLeft w:val="0"/>
      <w:marRight w:val="0"/>
      <w:marTop w:val="0"/>
      <w:marBottom w:val="0"/>
      <w:divBdr>
        <w:top w:val="none" w:sz="0" w:space="0" w:color="auto"/>
        <w:left w:val="none" w:sz="0" w:space="0" w:color="auto"/>
        <w:bottom w:val="none" w:sz="0" w:space="0" w:color="auto"/>
        <w:right w:val="none" w:sz="0" w:space="0" w:color="auto"/>
      </w:divBdr>
    </w:div>
    <w:div w:id="1452479471">
      <w:bodyDiv w:val="1"/>
      <w:marLeft w:val="0"/>
      <w:marRight w:val="0"/>
      <w:marTop w:val="0"/>
      <w:marBottom w:val="0"/>
      <w:divBdr>
        <w:top w:val="none" w:sz="0" w:space="0" w:color="auto"/>
        <w:left w:val="none" w:sz="0" w:space="0" w:color="auto"/>
        <w:bottom w:val="none" w:sz="0" w:space="0" w:color="auto"/>
        <w:right w:val="none" w:sz="0" w:space="0" w:color="auto"/>
      </w:divBdr>
    </w:div>
    <w:div w:id="1460033441">
      <w:bodyDiv w:val="1"/>
      <w:marLeft w:val="0"/>
      <w:marRight w:val="0"/>
      <w:marTop w:val="0"/>
      <w:marBottom w:val="0"/>
      <w:divBdr>
        <w:top w:val="none" w:sz="0" w:space="0" w:color="auto"/>
        <w:left w:val="none" w:sz="0" w:space="0" w:color="auto"/>
        <w:bottom w:val="none" w:sz="0" w:space="0" w:color="auto"/>
        <w:right w:val="none" w:sz="0" w:space="0" w:color="auto"/>
      </w:divBdr>
    </w:div>
    <w:div w:id="1481264178">
      <w:bodyDiv w:val="1"/>
      <w:marLeft w:val="0"/>
      <w:marRight w:val="0"/>
      <w:marTop w:val="0"/>
      <w:marBottom w:val="0"/>
      <w:divBdr>
        <w:top w:val="none" w:sz="0" w:space="0" w:color="auto"/>
        <w:left w:val="none" w:sz="0" w:space="0" w:color="auto"/>
        <w:bottom w:val="none" w:sz="0" w:space="0" w:color="auto"/>
        <w:right w:val="none" w:sz="0" w:space="0" w:color="auto"/>
      </w:divBdr>
    </w:div>
    <w:div w:id="1548563571">
      <w:bodyDiv w:val="1"/>
      <w:marLeft w:val="0"/>
      <w:marRight w:val="0"/>
      <w:marTop w:val="0"/>
      <w:marBottom w:val="0"/>
      <w:divBdr>
        <w:top w:val="none" w:sz="0" w:space="0" w:color="auto"/>
        <w:left w:val="none" w:sz="0" w:space="0" w:color="auto"/>
        <w:bottom w:val="none" w:sz="0" w:space="0" w:color="auto"/>
        <w:right w:val="none" w:sz="0" w:space="0" w:color="auto"/>
      </w:divBdr>
    </w:div>
    <w:div w:id="1551309364">
      <w:bodyDiv w:val="1"/>
      <w:marLeft w:val="0"/>
      <w:marRight w:val="0"/>
      <w:marTop w:val="0"/>
      <w:marBottom w:val="0"/>
      <w:divBdr>
        <w:top w:val="none" w:sz="0" w:space="0" w:color="auto"/>
        <w:left w:val="none" w:sz="0" w:space="0" w:color="auto"/>
        <w:bottom w:val="none" w:sz="0" w:space="0" w:color="auto"/>
        <w:right w:val="none" w:sz="0" w:space="0" w:color="auto"/>
      </w:divBdr>
    </w:div>
    <w:div w:id="1559199365">
      <w:bodyDiv w:val="1"/>
      <w:marLeft w:val="0"/>
      <w:marRight w:val="0"/>
      <w:marTop w:val="0"/>
      <w:marBottom w:val="0"/>
      <w:divBdr>
        <w:top w:val="none" w:sz="0" w:space="0" w:color="auto"/>
        <w:left w:val="none" w:sz="0" w:space="0" w:color="auto"/>
        <w:bottom w:val="none" w:sz="0" w:space="0" w:color="auto"/>
        <w:right w:val="none" w:sz="0" w:space="0" w:color="auto"/>
      </w:divBdr>
    </w:div>
    <w:div w:id="1559898450">
      <w:bodyDiv w:val="1"/>
      <w:marLeft w:val="0"/>
      <w:marRight w:val="0"/>
      <w:marTop w:val="0"/>
      <w:marBottom w:val="0"/>
      <w:divBdr>
        <w:top w:val="none" w:sz="0" w:space="0" w:color="auto"/>
        <w:left w:val="none" w:sz="0" w:space="0" w:color="auto"/>
        <w:bottom w:val="none" w:sz="0" w:space="0" w:color="auto"/>
        <w:right w:val="none" w:sz="0" w:space="0" w:color="auto"/>
      </w:divBdr>
    </w:div>
    <w:div w:id="1563443793">
      <w:bodyDiv w:val="1"/>
      <w:marLeft w:val="0"/>
      <w:marRight w:val="0"/>
      <w:marTop w:val="0"/>
      <w:marBottom w:val="0"/>
      <w:divBdr>
        <w:top w:val="none" w:sz="0" w:space="0" w:color="auto"/>
        <w:left w:val="none" w:sz="0" w:space="0" w:color="auto"/>
        <w:bottom w:val="none" w:sz="0" w:space="0" w:color="auto"/>
        <w:right w:val="none" w:sz="0" w:space="0" w:color="auto"/>
      </w:divBdr>
    </w:div>
    <w:div w:id="1567915896">
      <w:bodyDiv w:val="1"/>
      <w:marLeft w:val="0"/>
      <w:marRight w:val="0"/>
      <w:marTop w:val="0"/>
      <w:marBottom w:val="0"/>
      <w:divBdr>
        <w:top w:val="none" w:sz="0" w:space="0" w:color="auto"/>
        <w:left w:val="none" w:sz="0" w:space="0" w:color="auto"/>
        <w:bottom w:val="none" w:sz="0" w:space="0" w:color="auto"/>
        <w:right w:val="none" w:sz="0" w:space="0" w:color="auto"/>
      </w:divBdr>
    </w:div>
    <w:div w:id="1619556867">
      <w:bodyDiv w:val="1"/>
      <w:marLeft w:val="0"/>
      <w:marRight w:val="0"/>
      <w:marTop w:val="0"/>
      <w:marBottom w:val="0"/>
      <w:divBdr>
        <w:top w:val="none" w:sz="0" w:space="0" w:color="auto"/>
        <w:left w:val="none" w:sz="0" w:space="0" w:color="auto"/>
        <w:bottom w:val="none" w:sz="0" w:space="0" w:color="auto"/>
        <w:right w:val="none" w:sz="0" w:space="0" w:color="auto"/>
      </w:divBdr>
    </w:div>
    <w:div w:id="1638298949">
      <w:bodyDiv w:val="1"/>
      <w:marLeft w:val="0"/>
      <w:marRight w:val="0"/>
      <w:marTop w:val="0"/>
      <w:marBottom w:val="0"/>
      <w:divBdr>
        <w:top w:val="none" w:sz="0" w:space="0" w:color="auto"/>
        <w:left w:val="none" w:sz="0" w:space="0" w:color="auto"/>
        <w:bottom w:val="none" w:sz="0" w:space="0" w:color="auto"/>
        <w:right w:val="none" w:sz="0" w:space="0" w:color="auto"/>
      </w:divBdr>
    </w:div>
    <w:div w:id="1660619239">
      <w:bodyDiv w:val="1"/>
      <w:marLeft w:val="0"/>
      <w:marRight w:val="0"/>
      <w:marTop w:val="0"/>
      <w:marBottom w:val="0"/>
      <w:divBdr>
        <w:top w:val="none" w:sz="0" w:space="0" w:color="auto"/>
        <w:left w:val="none" w:sz="0" w:space="0" w:color="auto"/>
        <w:bottom w:val="none" w:sz="0" w:space="0" w:color="auto"/>
        <w:right w:val="none" w:sz="0" w:space="0" w:color="auto"/>
      </w:divBdr>
    </w:div>
    <w:div w:id="1664747084">
      <w:bodyDiv w:val="1"/>
      <w:marLeft w:val="0"/>
      <w:marRight w:val="0"/>
      <w:marTop w:val="0"/>
      <w:marBottom w:val="0"/>
      <w:divBdr>
        <w:top w:val="none" w:sz="0" w:space="0" w:color="auto"/>
        <w:left w:val="none" w:sz="0" w:space="0" w:color="auto"/>
        <w:bottom w:val="none" w:sz="0" w:space="0" w:color="auto"/>
        <w:right w:val="none" w:sz="0" w:space="0" w:color="auto"/>
      </w:divBdr>
    </w:div>
    <w:div w:id="1667585287">
      <w:bodyDiv w:val="1"/>
      <w:marLeft w:val="0"/>
      <w:marRight w:val="0"/>
      <w:marTop w:val="0"/>
      <w:marBottom w:val="0"/>
      <w:divBdr>
        <w:top w:val="none" w:sz="0" w:space="0" w:color="auto"/>
        <w:left w:val="none" w:sz="0" w:space="0" w:color="auto"/>
        <w:bottom w:val="none" w:sz="0" w:space="0" w:color="auto"/>
        <w:right w:val="none" w:sz="0" w:space="0" w:color="auto"/>
      </w:divBdr>
    </w:div>
    <w:div w:id="1670061887">
      <w:bodyDiv w:val="1"/>
      <w:marLeft w:val="0"/>
      <w:marRight w:val="0"/>
      <w:marTop w:val="0"/>
      <w:marBottom w:val="0"/>
      <w:divBdr>
        <w:top w:val="none" w:sz="0" w:space="0" w:color="auto"/>
        <w:left w:val="none" w:sz="0" w:space="0" w:color="auto"/>
        <w:bottom w:val="none" w:sz="0" w:space="0" w:color="auto"/>
        <w:right w:val="none" w:sz="0" w:space="0" w:color="auto"/>
      </w:divBdr>
    </w:div>
    <w:div w:id="1726760988">
      <w:bodyDiv w:val="1"/>
      <w:marLeft w:val="0"/>
      <w:marRight w:val="0"/>
      <w:marTop w:val="0"/>
      <w:marBottom w:val="0"/>
      <w:divBdr>
        <w:top w:val="none" w:sz="0" w:space="0" w:color="auto"/>
        <w:left w:val="none" w:sz="0" w:space="0" w:color="auto"/>
        <w:bottom w:val="none" w:sz="0" w:space="0" w:color="auto"/>
        <w:right w:val="none" w:sz="0" w:space="0" w:color="auto"/>
      </w:divBdr>
    </w:div>
    <w:div w:id="1730493242">
      <w:bodyDiv w:val="1"/>
      <w:marLeft w:val="0"/>
      <w:marRight w:val="0"/>
      <w:marTop w:val="0"/>
      <w:marBottom w:val="0"/>
      <w:divBdr>
        <w:top w:val="none" w:sz="0" w:space="0" w:color="auto"/>
        <w:left w:val="none" w:sz="0" w:space="0" w:color="auto"/>
        <w:bottom w:val="none" w:sz="0" w:space="0" w:color="auto"/>
        <w:right w:val="none" w:sz="0" w:space="0" w:color="auto"/>
      </w:divBdr>
    </w:div>
    <w:div w:id="1737363855">
      <w:bodyDiv w:val="1"/>
      <w:marLeft w:val="0"/>
      <w:marRight w:val="0"/>
      <w:marTop w:val="0"/>
      <w:marBottom w:val="0"/>
      <w:divBdr>
        <w:top w:val="none" w:sz="0" w:space="0" w:color="auto"/>
        <w:left w:val="none" w:sz="0" w:space="0" w:color="auto"/>
        <w:bottom w:val="none" w:sz="0" w:space="0" w:color="auto"/>
        <w:right w:val="none" w:sz="0" w:space="0" w:color="auto"/>
      </w:divBdr>
    </w:div>
    <w:div w:id="1739329758">
      <w:bodyDiv w:val="1"/>
      <w:marLeft w:val="0"/>
      <w:marRight w:val="0"/>
      <w:marTop w:val="0"/>
      <w:marBottom w:val="0"/>
      <w:divBdr>
        <w:top w:val="none" w:sz="0" w:space="0" w:color="auto"/>
        <w:left w:val="none" w:sz="0" w:space="0" w:color="auto"/>
        <w:bottom w:val="none" w:sz="0" w:space="0" w:color="auto"/>
        <w:right w:val="none" w:sz="0" w:space="0" w:color="auto"/>
      </w:divBdr>
    </w:div>
    <w:div w:id="1757702908">
      <w:bodyDiv w:val="1"/>
      <w:marLeft w:val="0"/>
      <w:marRight w:val="0"/>
      <w:marTop w:val="0"/>
      <w:marBottom w:val="0"/>
      <w:divBdr>
        <w:top w:val="none" w:sz="0" w:space="0" w:color="auto"/>
        <w:left w:val="none" w:sz="0" w:space="0" w:color="auto"/>
        <w:bottom w:val="none" w:sz="0" w:space="0" w:color="auto"/>
        <w:right w:val="none" w:sz="0" w:space="0" w:color="auto"/>
      </w:divBdr>
    </w:div>
    <w:div w:id="1772772850">
      <w:bodyDiv w:val="1"/>
      <w:marLeft w:val="0"/>
      <w:marRight w:val="0"/>
      <w:marTop w:val="0"/>
      <w:marBottom w:val="0"/>
      <w:divBdr>
        <w:top w:val="none" w:sz="0" w:space="0" w:color="auto"/>
        <w:left w:val="none" w:sz="0" w:space="0" w:color="auto"/>
        <w:bottom w:val="none" w:sz="0" w:space="0" w:color="auto"/>
        <w:right w:val="none" w:sz="0" w:space="0" w:color="auto"/>
      </w:divBdr>
    </w:div>
    <w:div w:id="1817187201">
      <w:bodyDiv w:val="1"/>
      <w:marLeft w:val="0"/>
      <w:marRight w:val="0"/>
      <w:marTop w:val="0"/>
      <w:marBottom w:val="0"/>
      <w:divBdr>
        <w:top w:val="none" w:sz="0" w:space="0" w:color="auto"/>
        <w:left w:val="none" w:sz="0" w:space="0" w:color="auto"/>
        <w:bottom w:val="none" w:sz="0" w:space="0" w:color="auto"/>
        <w:right w:val="none" w:sz="0" w:space="0" w:color="auto"/>
      </w:divBdr>
    </w:div>
    <w:div w:id="1822573818">
      <w:bodyDiv w:val="1"/>
      <w:marLeft w:val="0"/>
      <w:marRight w:val="0"/>
      <w:marTop w:val="0"/>
      <w:marBottom w:val="0"/>
      <w:divBdr>
        <w:top w:val="none" w:sz="0" w:space="0" w:color="auto"/>
        <w:left w:val="none" w:sz="0" w:space="0" w:color="auto"/>
        <w:bottom w:val="none" w:sz="0" w:space="0" w:color="auto"/>
        <w:right w:val="none" w:sz="0" w:space="0" w:color="auto"/>
      </w:divBdr>
    </w:div>
    <w:div w:id="1851530252">
      <w:bodyDiv w:val="1"/>
      <w:marLeft w:val="0"/>
      <w:marRight w:val="0"/>
      <w:marTop w:val="0"/>
      <w:marBottom w:val="0"/>
      <w:divBdr>
        <w:top w:val="none" w:sz="0" w:space="0" w:color="auto"/>
        <w:left w:val="none" w:sz="0" w:space="0" w:color="auto"/>
        <w:bottom w:val="none" w:sz="0" w:space="0" w:color="auto"/>
        <w:right w:val="none" w:sz="0" w:space="0" w:color="auto"/>
      </w:divBdr>
    </w:div>
    <w:div w:id="1893036662">
      <w:bodyDiv w:val="1"/>
      <w:marLeft w:val="0"/>
      <w:marRight w:val="0"/>
      <w:marTop w:val="0"/>
      <w:marBottom w:val="0"/>
      <w:divBdr>
        <w:top w:val="none" w:sz="0" w:space="0" w:color="auto"/>
        <w:left w:val="none" w:sz="0" w:space="0" w:color="auto"/>
        <w:bottom w:val="none" w:sz="0" w:space="0" w:color="auto"/>
        <w:right w:val="none" w:sz="0" w:space="0" w:color="auto"/>
      </w:divBdr>
    </w:div>
    <w:div w:id="1937790984">
      <w:bodyDiv w:val="1"/>
      <w:marLeft w:val="0"/>
      <w:marRight w:val="0"/>
      <w:marTop w:val="0"/>
      <w:marBottom w:val="0"/>
      <w:divBdr>
        <w:top w:val="none" w:sz="0" w:space="0" w:color="auto"/>
        <w:left w:val="none" w:sz="0" w:space="0" w:color="auto"/>
        <w:bottom w:val="none" w:sz="0" w:space="0" w:color="auto"/>
        <w:right w:val="none" w:sz="0" w:space="0" w:color="auto"/>
      </w:divBdr>
    </w:div>
    <w:div w:id="1956015819">
      <w:bodyDiv w:val="1"/>
      <w:marLeft w:val="0"/>
      <w:marRight w:val="0"/>
      <w:marTop w:val="0"/>
      <w:marBottom w:val="0"/>
      <w:divBdr>
        <w:top w:val="none" w:sz="0" w:space="0" w:color="auto"/>
        <w:left w:val="none" w:sz="0" w:space="0" w:color="auto"/>
        <w:bottom w:val="none" w:sz="0" w:space="0" w:color="auto"/>
        <w:right w:val="none" w:sz="0" w:space="0" w:color="auto"/>
      </w:divBdr>
    </w:div>
    <w:div w:id="1968461740">
      <w:bodyDiv w:val="1"/>
      <w:marLeft w:val="0"/>
      <w:marRight w:val="0"/>
      <w:marTop w:val="0"/>
      <w:marBottom w:val="0"/>
      <w:divBdr>
        <w:top w:val="none" w:sz="0" w:space="0" w:color="auto"/>
        <w:left w:val="none" w:sz="0" w:space="0" w:color="auto"/>
        <w:bottom w:val="none" w:sz="0" w:space="0" w:color="auto"/>
        <w:right w:val="none" w:sz="0" w:space="0" w:color="auto"/>
      </w:divBdr>
    </w:div>
    <w:div w:id="2063288100">
      <w:bodyDiv w:val="1"/>
      <w:marLeft w:val="0"/>
      <w:marRight w:val="0"/>
      <w:marTop w:val="0"/>
      <w:marBottom w:val="0"/>
      <w:divBdr>
        <w:top w:val="none" w:sz="0" w:space="0" w:color="auto"/>
        <w:left w:val="none" w:sz="0" w:space="0" w:color="auto"/>
        <w:bottom w:val="none" w:sz="0" w:space="0" w:color="auto"/>
        <w:right w:val="none" w:sz="0" w:space="0" w:color="auto"/>
      </w:divBdr>
    </w:div>
    <w:div w:id="2086032118">
      <w:bodyDiv w:val="1"/>
      <w:marLeft w:val="0"/>
      <w:marRight w:val="0"/>
      <w:marTop w:val="0"/>
      <w:marBottom w:val="0"/>
      <w:divBdr>
        <w:top w:val="none" w:sz="0" w:space="0" w:color="auto"/>
        <w:left w:val="none" w:sz="0" w:space="0" w:color="auto"/>
        <w:bottom w:val="none" w:sz="0" w:space="0" w:color="auto"/>
        <w:right w:val="none" w:sz="0" w:space="0" w:color="auto"/>
      </w:divBdr>
    </w:div>
    <w:div w:id="2110352154">
      <w:bodyDiv w:val="1"/>
      <w:marLeft w:val="0"/>
      <w:marRight w:val="0"/>
      <w:marTop w:val="0"/>
      <w:marBottom w:val="0"/>
      <w:divBdr>
        <w:top w:val="none" w:sz="0" w:space="0" w:color="auto"/>
        <w:left w:val="none" w:sz="0" w:space="0" w:color="auto"/>
        <w:bottom w:val="none" w:sz="0" w:space="0" w:color="auto"/>
        <w:right w:val="none" w:sz="0" w:space="0" w:color="auto"/>
      </w:divBdr>
    </w:div>
    <w:div w:id="2134009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mailto:communication@presidence.pf"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1755</Words>
  <Characters>9655</Characters>
  <Application>Microsoft Office Word</Application>
  <DocSecurity>0</DocSecurity>
  <Lines>80</Lines>
  <Paragraphs>22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11388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Katell KP. PERENNOU</dc:creator>
  <cp:lastModifiedBy>Thibault TM. MARAIS</cp:lastModifiedBy>
  <cp:revision>2</cp:revision>
  <cp:lastPrinted>2019-12-03T18:24:00Z</cp:lastPrinted>
  <dcterms:created xsi:type="dcterms:W3CDTF">2020-04-02T00:19:00Z</dcterms:created>
  <dcterms:modified xsi:type="dcterms:W3CDTF">2020-04-02T00:19:00Z</dcterms:modified>
</cp:coreProperties>
</file>