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C4D6DB"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 xml:space="preserve">Mercredi </w:t>
      </w:r>
      <w:r w:rsidR="00BF6DB2">
        <w:rPr>
          <w:rFonts w:ascii="Cambria" w:hAnsi="Cambria" w:cs="Arial"/>
          <w:b/>
          <w:i/>
        </w:rPr>
        <w:t>3</w:t>
      </w:r>
      <w:r w:rsidR="00124A38">
        <w:rPr>
          <w:rFonts w:ascii="Cambria" w:hAnsi="Cambria" w:cs="Arial"/>
          <w:b/>
          <w:i/>
        </w:rPr>
        <w:t xml:space="preserve"> </w:t>
      </w:r>
      <w:r w:rsidR="008621A3">
        <w:rPr>
          <w:rFonts w:ascii="Cambria" w:hAnsi="Cambria" w:cs="Arial"/>
          <w:b/>
          <w:i/>
        </w:rPr>
        <w:t>juin</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17AFF8"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E879D4" w:rsidRDefault="00E879D4" w:rsidP="00DC0C10">
      <w:pPr>
        <w:pStyle w:val="-LettreTexteespacGEDA"/>
        <w:ind w:firstLine="0"/>
        <w:rPr>
          <w:rFonts w:ascii="Cambria" w:hAnsi="Cambria"/>
          <w:b/>
          <w:bCs/>
        </w:rPr>
      </w:pPr>
    </w:p>
    <w:p w:rsidR="009B5FE5" w:rsidRDefault="009B5FE5" w:rsidP="009B5FE5">
      <w:pPr>
        <w:pStyle w:val="-LettreTexteGEDA"/>
        <w:spacing w:before="0"/>
        <w:ind w:firstLine="0"/>
        <w:rPr>
          <w:rFonts w:ascii="Cambria" w:hAnsi="Cambria"/>
          <w:b/>
          <w:bCs/>
          <w:sz w:val="20"/>
        </w:rPr>
      </w:pPr>
      <w:r>
        <w:rPr>
          <w:rFonts w:ascii="Cambria" w:hAnsi="Cambria"/>
          <w:b/>
          <w:bCs/>
        </w:rPr>
        <w:t>Soutien du Pays à l’investissement privé : 2,8 milliards Fcfp d’investissements agréés en défiscalisation locale</w:t>
      </w:r>
    </w:p>
    <w:p w:rsidR="009B5FE5" w:rsidRDefault="009B5FE5" w:rsidP="009B5FE5">
      <w:pPr>
        <w:pStyle w:val="En-tte"/>
        <w:spacing w:after="120"/>
        <w:jc w:val="both"/>
        <w:rPr>
          <w:rFonts w:ascii="Cambria" w:hAnsi="Cambria"/>
        </w:rPr>
      </w:pPr>
    </w:p>
    <w:p w:rsidR="009B5FE5" w:rsidRDefault="009B5FE5" w:rsidP="009B5FE5">
      <w:pPr>
        <w:pStyle w:val="-LettreTexteGEDA"/>
        <w:ind w:firstLine="0"/>
        <w:rPr>
          <w:rFonts w:ascii="Cambria" w:hAnsi="Cambria"/>
        </w:rPr>
      </w:pPr>
      <w:r>
        <w:rPr>
          <w:rFonts w:ascii="Cambria" w:hAnsi="Cambria"/>
        </w:rPr>
        <w:t>Le Conseil des ministres a validé cinq projets au titre de la défiscalisation locale pour un investissement global de 2,8 milliards Fcfp. L’ensemble de ces projets va permettre la création de 26 emplois directs.</w:t>
      </w:r>
    </w:p>
    <w:p w:rsidR="009B5FE5" w:rsidRDefault="009B5FE5" w:rsidP="009B5FE5">
      <w:pPr>
        <w:pStyle w:val="-LettreTexteGEDA"/>
        <w:ind w:firstLine="0"/>
        <w:rPr>
          <w:rFonts w:ascii="Cambria" w:hAnsi="Cambria"/>
        </w:rPr>
      </w:pPr>
      <w:r>
        <w:rPr>
          <w:rFonts w:ascii="Cambria" w:hAnsi="Cambria"/>
        </w:rPr>
        <w:t>Le Gouvernement poursuit sa politique de soutien au développement du tourisme. Ainsi, un agrément fiscal a été accordé à un projet de rénovation d’un établissement hôtelier fermé depuis plus de 10 ans en vue de sa réouverture et de la revitalisation de la zone environnante, à un projet d’extension d’une pension de famille et à un projet d’acquisition de deux navires destinés au charter nautique.</w:t>
      </w:r>
    </w:p>
    <w:p w:rsidR="009B5FE5" w:rsidRDefault="009B5FE5" w:rsidP="009B5FE5">
      <w:pPr>
        <w:pStyle w:val="-LettreTexteGEDA"/>
        <w:ind w:firstLine="0"/>
        <w:rPr>
          <w:rFonts w:ascii="Cambria" w:hAnsi="Cambria"/>
        </w:rPr>
      </w:pPr>
      <w:r>
        <w:rPr>
          <w:rFonts w:ascii="Cambria" w:hAnsi="Cambria"/>
        </w:rPr>
        <w:t>Le secteur industriel dans les îles Sous-Le-Vent est également soutenu avec l’agrément d’un projet d’acquisition d’équipements destinés à la maintenance navale.</w:t>
      </w:r>
    </w:p>
    <w:p w:rsidR="009B5FE5" w:rsidRDefault="009B5FE5" w:rsidP="009B5FE5">
      <w:pPr>
        <w:pStyle w:val="-LettreTexteGEDA"/>
        <w:ind w:firstLine="0"/>
        <w:rPr>
          <w:rFonts w:ascii="Cambria" w:hAnsi="Cambria"/>
        </w:rPr>
      </w:pPr>
      <w:r>
        <w:rPr>
          <w:rFonts w:ascii="Cambria" w:hAnsi="Cambria"/>
        </w:rPr>
        <w:t>Un projet de construction représentant près d’un milliard Fcfp d’investissement va permettre la création de 38 logements afin de répondre à une demande toujours insatisfaite.</w:t>
      </w:r>
    </w:p>
    <w:p w:rsidR="009B5FE5" w:rsidRDefault="009B5FE5" w:rsidP="009B5FE5">
      <w:pPr>
        <w:pStyle w:val="-LettreTexteGEDA"/>
        <w:ind w:firstLine="0"/>
        <w:rPr>
          <w:rFonts w:ascii="Cambria" w:hAnsi="Cambria"/>
        </w:rPr>
      </w:pPr>
      <w:r>
        <w:rPr>
          <w:rFonts w:ascii="Cambria" w:hAnsi="Cambria"/>
        </w:rPr>
        <w:t>Le montant total de l’aide accordée par le Pays sous la forme de crédits d’impôts et d’exonérations de l’impôt sur les sociétés pour ses 5 projets s’élève à 823,1 millions Fcfp, soit 29,3% de l’investissement total.</w:t>
      </w:r>
    </w:p>
    <w:p w:rsidR="009B5FE5" w:rsidRDefault="009B5FE5" w:rsidP="009B5FE5">
      <w:pPr>
        <w:pStyle w:val="-LettreTexteGEDA"/>
        <w:spacing w:before="0"/>
        <w:ind w:firstLine="0"/>
        <w:rPr>
          <w:rFonts w:ascii="Calibri" w:hAnsi="Calibri"/>
          <w:sz w:val="22"/>
          <w:szCs w:val="22"/>
        </w:rPr>
      </w:pPr>
      <w:bookmarkStart w:id="0" w:name="_GoBack"/>
      <w:bookmarkEnd w:id="0"/>
    </w:p>
    <w:p w:rsidR="009B5FE5" w:rsidRDefault="009B5FE5" w:rsidP="009B5FE5">
      <w:pPr>
        <w:pStyle w:val="-LettreTexteGEDA"/>
        <w:spacing w:before="0"/>
        <w:ind w:firstLine="0"/>
        <w:rPr>
          <w:rFonts w:ascii="Cambria" w:hAnsi="Cambria"/>
          <w:szCs w:val="24"/>
        </w:rPr>
      </w:pPr>
    </w:p>
    <w:p w:rsidR="009B5FE5" w:rsidRDefault="009B5FE5" w:rsidP="009B5FE5">
      <w:pPr>
        <w:shd w:val="clear" w:color="auto" w:fill="FFFFFF"/>
        <w:spacing w:after="300"/>
        <w:jc w:val="both"/>
        <w:rPr>
          <w:rFonts w:ascii="Cambria" w:hAnsi="Cambria"/>
          <w:sz w:val="22"/>
          <w:szCs w:val="22"/>
          <w:lang w:eastAsia="fr-FR"/>
        </w:rPr>
      </w:pPr>
      <w:r>
        <w:rPr>
          <w:rFonts w:ascii="Cambria" w:hAnsi="Cambria"/>
          <w:b/>
          <w:bCs/>
          <w:lang w:eastAsia="fr-FR"/>
        </w:rPr>
        <w:t>Indice des prix à la consommation : baisse de 0,1% en avril</w:t>
      </w:r>
    </w:p>
    <w:p w:rsidR="009B5FE5" w:rsidRDefault="009B5FE5" w:rsidP="009B5FE5">
      <w:pPr>
        <w:pStyle w:val="-LettreTexteGEDA"/>
        <w:spacing w:after="360"/>
        <w:ind w:firstLine="0"/>
        <w:rPr>
          <w:rFonts w:ascii="Cambria" w:hAnsi="Cambria"/>
        </w:rPr>
      </w:pPr>
      <w:r>
        <w:rPr>
          <w:rFonts w:ascii="Cambria" w:hAnsi="Cambria"/>
        </w:rPr>
        <w:t xml:space="preserve">Au mois d’avril, l'indice des prix à la consommation diminue de 0,1% et s'établit à 99,83, essentiellement en raison de la baisse des prix de 0,4 % dans la division Produits alimentaires, de 0,2 % dans la division Boissons alcoolisées et de 0,1 % dans la division Ameublement, équipement ménager et entretien courant de la maison. </w:t>
      </w:r>
    </w:p>
    <w:p w:rsidR="009B5FE5" w:rsidRDefault="009B5FE5" w:rsidP="009B5FE5">
      <w:pPr>
        <w:pStyle w:val="-LettreTexteGEDA"/>
        <w:spacing w:after="360"/>
        <w:ind w:firstLine="0"/>
        <w:rPr>
          <w:rFonts w:ascii="Cambria" w:hAnsi="Cambria"/>
        </w:rPr>
      </w:pPr>
      <w:r>
        <w:rPr>
          <w:rFonts w:ascii="Cambria" w:hAnsi="Cambria"/>
        </w:rPr>
        <w:t xml:space="preserve">Sur douze mois, l'indice général des prix à la consommation augmente de 0,5 %. </w:t>
      </w:r>
    </w:p>
    <w:p w:rsidR="009B5FE5" w:rsidRDefault="009B5FE5" w:rsidP="009B5FE5">
      <w:pPr>
        <w:pStyle w:val="-LettreTexteGEDA"/>
        <w:spacing w:after="360"/>
        <w:ind w:firstLine="0"/>
        <w:rPr>
          <w:rFonts w:ascii="Cambria" w:hAnsi="Cambria"/>
        </w:rPr>
      </w:pPr>
      <w:r>
        <w:rPr>
          <w:rFonts w:ascii="Cambria" w:hAnsi="Cambria"/>
        </w:rPr>
        <w:t xml:space="preserve">L’indice ouvrier baisse de 0,1 % en avril 2020. Il progresse de 1,3 % en glissement sur douze mois. </w:t>
      </w:r>
    </w:p>
    <w:p w:rsidR="009B5FE5" w:rsidRDefault="009B5FE5" w:rsidP="009B5FE5">
      <w:pPr>
        <w:pStyle w:val="-LettreTexteGEDA"/>
        <w:spacing w:after="360"/>
        <w:ind w:firstLine="0"/>
        <w:rPr>
          <w:rFonts w:ascii="Cambria" w:hAnsi="Cambria"/>
        </w:rPr>
      </w:pPr>
      <w:r>
        <w:rPr>
          <w:rFonts w:ascii="Cambria" w:hAnsi="Cambria"/>
        </w:rPr>
        <w:lastRenderedPageBreak/>
        <w:t xml:space="preserve">L'indice général hors Transport aérien international diminue de 0,1 % en avril 2020. Il est en hausse de 0,6 % en glissement sur douze mois. </w:t>
      </w:r>
    </w:p>
    <w:p w:rsidR="009B5FE5" w:rsidRDefault="009B5FE5" w:rsidP="009B5FE5">
      <w:pPr>
        <w:pStyle w:val="-LettreTexteGEDA"/>
        <w:spacing w:before="240"/>
        <w:ind w:firstLine="0"/>
        <w:rPr>
          <w:rFonts w:ascii="Cambria" w:hAnsi="Cambria"/>
        </w:rPr>
      </w:pPr>
      <w:r>
        <w:rPr>
          <w:rFonts w:ascii="Cambria" w:hAnsi="Cambria"/>
        </w:rPr>
        <w:t>L'index du Bâtiment et des Travaux Publics (BTP) diminue de 0,2 % et s'établit à 109,72. Cette évolution est principalement liée à la baisse de 1,5 % des prix des matériaux chimiques. Sur douze mois, l'index général du Bâtiment et Travaux publics augmente de 1,1 %.</w:t>
      </w:r>
    </w:p>
    <w:p w:rsidR="009B5FE5" w:rsidRDefault="009B5FE5" w:rsidP="009B5FE5">
      <w:pPr>
        <w:pStyle w:val="-LettreTexteGEDA"/>
        <w:spacing w:before="240"/>
        <w:ind w:firstLine="0"/>
        <w:rPr>
          <w:rFonts w:ascii="Cambria" w:hAnsi="Cambria"/>
        </w:rPr>
      </w:pPr>
      <w:r>
        <w:rPr>
          <w:rFonts w:ascii="Cambria" w:hAnsi="Cambria"/>
        </w:rPr>
        <w:t>Dans le Bâtiment au mois d’avril, l'index du Gros Œuvre augmente de 0,2 % et celui du Second Œuvre reste stable. Sur douze mois, l'index général du Bâtiment est en hausse de 1,3 %.</w:t>
      </w:r>
    </w:p>
    <w:p w:rsidR="009B5FE5" w:rsidRDefault="009B5FE5" w:rsidP="009B5FE5">
      <w:pPr>
        <w:pStyle w:val="-LettreTexteGEDA"/>
        <w:spacing w:before="240"/>
        <w:ind w:firstLine="0"/>
        <w:rPr>
          <w:rFonts w:ascii="Cambria" w:hAnsi="Cambria"/>
        </w:rPr>
      </w:pPr>
      <w:r>
        <w:rPr>
          <w:rFonts w:ascii="Cambria" w:hAnsi="Cambria"/>
        </w:rPr>
        <w:t>Dans les Travaux Publics, l'index du Génie Civil baisse de 0,6 % et celui des Travaux Spécialisés reste stable. Sur douze mois, l'index général des Travaux Publics progresse de 0,8 %.</w:t>
      </w:r>
    </w:p>
    <w:p w:rsidR="009B5FE5" w:rsidRDefault="009B5FE5" w:rsidP="009B5FE5">
      <w:pPr>
        <w:pStyle w:val="-LettreTexteGEDA"/>
        <w:ind w:firstLine="0"/>
        <w:rPr>
          <w:rFonts w:ascii="Cambria" w:hAnsi="Cambria"/>
          <w:u w:val="single"/>
        </w:rPr>
      </w:pPr>
    </w:p>
    <w:p w:rsidR="009B5FE5" w:rsidRDefault="009B5FE5" w:rsidP="009B5FE5">
      <w:pPr>
        <w:pStyle w:val="-LettreSuiteORefPJGEDA"/>
        <w:ind w:left="0"/>
        <w:rPr>
          <w:rFonts w:ascii="Cambria" w:hAnsi="Cambria"/>
        </w:rPr>
      </w:pPr>
      <w:r>
        <w:rPr>
          <w:rFonts w:ascii="Cambria" w:hAnsi="Cambria"/>
          <w:lang w:eastAsia="es-ES"/>
        </w:rPr>
        <w:t>Enfin</w:t>
      </w:r>
      <w:r>
        <w:rPr>
          <w:rFonts w:ascii="Cambria" w:hAnsi="Cambria"/>
          <w:b/>
          <w:bCs/>
          <w:lang w:eastAsia="es-ES"/>
        </w:rPr>
        <w:t xml:space="preserve">, </w:t>
      </w:r>
      <w:r>
        <w:rPr>
          <w:rFonts w:ascii="Cambria" w:hAnsi="Cambria"/>
        </w:rPr>
        <w:t>les index hybrides prennent les valeurs suivantes (base 100 en décembre 2010) :</w:t>
      </w:r>
    </w:p>
    <w:p w:rsidR="009B5FE5" w:rsidRDefault="009B5FE5" w:rsidP="009B5FE5">
      <w:pPr>
        <w:pStyle w:val="-LettreTexteGEDA"/>
        <w:rPr>
          <w:rFonts w:ascii="Cambria" w:hAnsi="Cambria"/>
        </w:rPr>
      </w:pPr>
    </w:p>
    <w:tbl>
      <w:tblPr>
        <w:tblW w:w="9634" w:type="dxa"/>
        <w:tblInd w:w="75" w:type="dxa"/>
        <w:tblCellMar>
          <w:left w:w="0" w:type="dxa"/>
          <w:right w:w="0" w:type="dxa"/>
        </w:tblCellMar>
        <w:tblLook w:val="04A0" w:firstRow="1" w:lastRow="0" w:firstColumn="1" w:lastColumn="0" w:noHBand="0" w:noVBand="1"/>
      </w:tblPr>
      <w:tblGrid>
        <w:gridCol w:w="5665"/>
        <w:gridCol w:w="1276"/>
        <w:gridCol w:w="1309"/>
        <w:gridCol w:w="1384"/>
      </w:tblGrid>
      <w:tr w:rsidR="009B5FE5" w:rsidTr="009B5FE5">
        <w:trPr>
          <w:trHeight w:val="315"/>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b/>
                <w:bCs/>
                <w:color w:val="000000"/>
              </w:rPr>
            </w:pPr>
            <w:r>
              <w:rPr>
                <w:rFonts w:ascii="Cambria" w:hAnsi="Cambria"/>
                <w:b/>
                <w:bCs/>
                <w:color w:val="000000"/>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b/>
                <w:bCs/>
                <w:color w:val="000000"/>
              </w:rPr>
            </w:pPr>
            <w:r>
              <w:rPr>
                <w:rFonts w:ascii="Cambria" w:hAnsi="Cambria"/>
                <w:b/>
                <w:bCs/>
                <w:color w:val="000000"/>
              </w:rPr>
              <w:t>Valeur</w:t>
            </w:r>
          </w:p>
        </w:tc>
        <w:tc>
          <w:tcPr>
            <w:tcW w:w="2693"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b/>
                <w:bCs/>
                <w:color w:val="000000"/>
              </w:rPr>
            </w:pPr>
            <w:r>
              <w:rPr>
                <w:rFonts w:ascii="Cambria" w:hAnsi="Cambria"/>
                <w:b/>
                <w:bCs/>
                <w:color w:val="000000"/>
              </w:rPr>
              <w:t>Variations en %</w:t>
            </w:r>
          </w:p>
        </w:tc>
      </w:tr>
      <w:tr w:rsidR="009B5FE5" w:rsidTr="009B5FE5">
        <w:trPr>
          <w:trHeight w:val="315"/>
        </w:trPr>
        <w:tc>
          <w:tcPr>
            <w:tcW w:w="0" w:type="auto"/>
            <w:vMerge/>
            <w:tcBorders>
              <w:top w:val="dotted" w:sz="8" w:space="0" w:color="auto"/>
              <w:left w:val="dotted" w:sz="8" w:space="0" w:color="auto"/>
              <w:bottom w:val="dotted" w:sz="8" w:space="0" w:color="auto"/>
              <w:right w:val="dotted" w:sz="8" w:space="0" w:color="auto"/>
            </w:tcBorders>
            <w:vAlign w:val="center"/>
            <w:hideMark/>
          </w:tcPr>
          <w:p w:rsidR="009B5FE5" w:rsidRDefault="009B5FE5">
            <w:pPr>
              <w:rPr>
                <w:rFonts w:ascii="Cambria" w:eastAsiaTheme="minorHAnsi" w:hAnsi="Cambria"/>
                <w:b/>
                <w:bCs/>
                <w:color w:val="000000"/>
              </w:rPr>
            </w:pPr>
          </w:p>
        </w:tc>
        <w:tc>
          <w:tcPr>
            <w:tcW w:w="0" w:type="auto"/>
            <w:vMerge/>
            <w:tcBorders>
              <w:top w:val="dotted" w:sz="8" w:space="0" w:color="auto"/>
              <w:left w:val="nil"/>
              <w:bottom w:val="dotted" w:sz="8" w:space="0" w:color="auto"/>
              <w:right w:val="dotted" w:sz="8" w:space="0" w:color="auto"/>
            </w:tcBorders>
            <w:vAlign w:val="center"/>
            <w:hideMark/>
          </w:tcPr>
          <w:p w:rsidR="009B5FE5" w:rsidRDefault="009B5FE5">
            <w:pPr>
              <w:rPr>
                <w:rFonts w:ascii="Cambria" w:eastAsiaTheme="minorHAnsi" w:hAnsi="Cambria"/>
                <w:b/>
                <w:bCs/>
                <w:color w:val="000000"/>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b/>
                <w:bCs/>
                <w:color w:val="000000"/>
              </w:rPr>
            </w:pPr>
            <w:r>
              <w:rPr>
                <w:rFonts w:ascii="Cambria" w:hAnsi="Cambria"/>
                <w:b/>
                <w:bCs/>
                <w:color w:val="000000"/>
              </w:rPr>
              <w:t>Mensuelle</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9B5FE5" w:rsidRDefault="009B5FE5">
            <w:pPr>
              <w:spacing w:line="276" w:lineRule="auto"/>
              <w:rPr>
                <w:rFonts w:ascii="Cambria" w:hAnsi="Cambria"/>
                <w:b/>
                <w:bCs/>
                <w:color w:val="000000"/>
              </w:rPr>
            </w:pPr>
            <w:r>
              <w:rPr>
                <w:rFonts w:ascii="Cambria" w:hAnsi="Cambria"/>
                <w:b/>
                <w:bCs/>
                <w:color w:val="000000"/>
              </w:rPr>
              <w:t>Sur 12 mois</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115,80</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0,9</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110,89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0,9</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111,98</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0,6</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105,40</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0,2</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121,62</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0,2</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-4,9</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110,06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109,26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0,8</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102,65</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0,1</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rFonts w:ascii="Cambria" w:hAnsi="Cambria"/>
                <w:color w:val="000000"/>
              </w:rPr>
            </w:pPr>
            <w:r>
              <w:rPr>
                <w:rFonts w:ascii="Cambria" w:hAnsi="Cambria"/>
                <w:color w:val="000000"/>
              </w:rPr>
              <w:t>-2,1</w:t>
            </w:r>
          </w:p>
        </w:tc>
      </w:tr>
      <w:tr w:rsidR="009B5FE5" w:rsidTr="009B5FE5">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color w:val="000000"/>
              </w:rPr>
            </w:pPr>
            <w:r>
              <w:rPr>
                <w:color w:val="000000"/>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color w:val="000000"/>
              </w:rPr>
            </w:pPr>
            <w:r>
              <w:rPr>
                <w:color w:val="000000"/>
              </w:rPr>
              <w:t>93,69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color w:val="000000"/>
              </w:rPr>
            </w:pPr>
            <w:r>
              <w:rPr>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9B5FE5" w:rsidRDefault="009B5FE5">
            <w:pPr>
              <w:spacing w:line="276" w:lineRule="auto"/>
              <w:rPr>
                <w:color w:val="000000"/>
              </w:rPr>
            </w:pPr>
            <w:r>
              <w:rPr>
                <w:color w:val="000000"/>
              </w:rPr>
              <w:t>-3,9</w:t>
            </w:r>
          </w:p>
        </w:tc>
      </w:tr>
    </w:tbl>
    <w:p w:rsidR="009B5FE5" w:rsidRDefault="009B5FE5" w:rsidP="009B5FE5">
      <w:pPr>
        <w:rPr>
          <w:rFonts w:ascii="Calibri" w:eastAsiaTheme="minorHAnsi" w:hAnsi="Calibri"/>
          <w:sz w:val="22"/>
          <w:szCs w:val="22"/>
          <w:lang w:eastAsia="en-US"/>
        </w:rPr>
      </w:pPr>
    </w:p>
    <w:p w:rsidR="009B5FE5" w:rsidRDefault="009B5FE5" w:rsidP="009B5FE5"/>
    <w:p w:rsidR="00DC0C10" w:rsidRDefault="00DC0C10" w:rsidP="00DC0C10">
      <w:pPr>
        <w:pStyle w:val="-LettreTexteespacGEDA"/>
        <w:ind w:firstLine="0"/>
        <w:rPr>
          <w:rFonts w:ascii="Cambria" w:hAnsi="Cambria"/>
          <w:b/>
          <w:bCs/>
        </w:rPr>
      </w:pPr>
      <w:r>
        <w:rPr>
          <w:rFonts w:ascii="Cambria" w:hAnsi="Cambria"/>
          <w:b/>
          <w:bCs/>
        </w:rPr>
        <w:t>Mesure de la satisfaction des usagers des services publics de la Polynésie française</w:t>
      </w:r>
    </w:p>
    <w:p w:rsidR="00DC0C10" w:rsidRDefault="00DC0C10" w:rsidP="00DC0C10">
      <w:pPr>
        <w:pStyle w:val="-LettreTexteespacGEDA"/>
        <w:ind w:firstLine="0"/>
        <w:rPr>
          <w:rFonts w:ascii="Cambria" w:hAnsi="Cambria"/>
        </w:rPr>
      </w:pPr>
      <w:r>
        <w:rPr>
          <w:rFonts w:ascii="Cambria" w:hAnsi="Cambria"/>
        </w:rPr>
        <w:t>La modernisation de l’Administration est un des axes forts du Gouvernement. Plusieurs actions majeures sont ainsi engagées dans les entités pour la qualité du service public. Le constat est que peu d’études ont été réalisées pour savoir comment les usagers en évaluent la qualité. La dernière enquête ayant mesuré la perception des usagers sur le service public polynésien a été réalisée en 2011.</w:t>
      </w:r>
    </w:p>
    <w:p w:rsidR="00DC0C10" w:rsidRDefault="00DC0C10" w:rsidP="00DC0C10">
      <w:pPr>
        <w:pStyle w:val="-LettreTexteGEDA"/>
        <w:ind w:firstLine="0"/>
        <w:rPr>
          <w:rFonts w:ascii="Cambria" w:hAnsi="Cambria"/>
        </w:rPr>
      </w:pPr>
      <w:r>
        <w:rPr>
          <w:rFonts w:ascii="Cambria" w:hAnsi="Cambria"/>
        </w:rPr>
        <w:t xml:space="preserve">Dans un contexte d’évolution des usages et des comportements des citoyens, il convenait de se doter d’un état des lieux, d’un baromètre qui permette de suivre dans le temps l’évolution des données sur la représentation, la perception et la satisfaction des particuliers et des professionnels quant aux services et établissements publics </w:t>
      </w:r>
      <w:r>
        <w:rPr>
          <w:rFonts w:ascii="Cambria" w:hAnsi="Cambria"/>
        </w:rPr>
        <w:lastRenderedPageBreak/>
        <w:t>administratifs qu’ils fréquentent sur l’ensemble de la Polynésie française et, d’apprécier l’évolution au regard des actions mises en place pour répondre aux attentes et aux propositions formulées par les usagers.</w:t>
      </w:r>
    </w:p>
    <w:p w:rsidR="00DC0C10" w:rsidRDefault="00DC0C10" w:rsidP="00DC0C10">
      <w:pPr>
        <w:pStyle w:val="-LettreTexteGEDA"/>
        <w:ind w:firstLine="0"/>
        <w:rPr>
          <w:rFonts w:ascii="Cambria" w:hAnsi="Cambria"/>
        </w:rPr>
      </w:pPr>
      <w:r>
        <w:rPr>
          <w:rFonts w:ascii="Cambria" w:hAnsi="Cambria"/>
        </w:rPr>
        <w:t xml:space="preserve">Ainsi, fin 2019, une étude a été réalisée par le prestataire Alvea Consulting permettant la mesure de la qualité des services publics en Polynésie française. Une première analyse de cette étude met en avant que les communes sont la première entité à laquelle les usagers pensent lorsqu’on parle des services publics. Tant les professionnels, que les particuliers, usagers ou non du service public ont une mauvaise image du service public. Parmi les trois mots pour le définir, le terme le plus cité est : « lenteur ». Néanmoins, lorsqu’on compare ces résultats à ceux de la partie « perception », qui renvoie aux usagers ayant été en contact avec les services publics entre 2018 et 2019, on constate que les chiffres sont meilleurs. Ainsi, d’une manière globale, plus de 70% des usagers ont une opinion positive, font confiance et recommandent positivement les services publics. </w:t>
      </w:r>
    </w:p>
    <w:p w:rsidR="00DC0C10" w:rsidRDefault="00DC0C10" w:rsidP="00DC0C10">
      <w:pPr>
        <w:pStyle w:val="-LettreTexteGEDA"/>
        <w:ind w:firstLine="0"/>
        <w:rPr>
          <w:rFonts w:ascii="Cambria" w:hAnsi="Cambria"/>
        </w:rPr>
      </w:pPr>
      <w:r>
        <w:rPr>
          <w:rFonts w:ascii="Cambria" w:hAnsi="Cambria"/>
        </w:rPr>
        <w:t>Les domaines les plus fréquentés sont, à 55%, la santé et, à 32%, l’emploi et la formation pour les particuliers et, pour les professionnels à 61% les entités du domaine économique et à 24% l’emploi et la formation. De plus, cette étude a permis d’évaluer satisfaction d’usagers s’étant déplacés dans un service public au cours des trois derniers mois (de juillet à septembre 2019). Pour les deux catégories, le temps d’attente est le premier point d’amélioration, suivi pour les particuliers d’un meilleur confort et, pour les professionnels, de l’accessibilité des services.</w:t>
      </w:r>
    </w:p>
    <w:p w:rsidR="00DC0C10" w:rsidRDefault="00DC0C10" w:rsidP="00DC0C10">
      <w:pPr>
        <w:pStyle w:val="-LettreTexteGEDA"/>
        <w:ind w:firstLine="0"/>
        <w:rPr>
          <w:rFonts w:ascii="Cambria" w:hAnsi="Cambria"/>
        </w:rPr>
      </w:pPr>
      <w:r>
        <w:rPr>
          <w:rFonts w:ascii="Cambria" w:hAnsi="Cambria"/>
        </w:rPr>
        <w:t>L’analyse des résultats obtenus, approfondie pour chaque domaine avec une mise en parallèle des points forts et des points à améliorer proposés par les usagers pour faciliter l’accès, la réalisation et le suivi de leurs démarches physique et digitale offrent là encore des pistes d’actions concrètes. Pour rester en phase avec la société et les attentes des usagers, il est envisagé de reconduire cette étude régulièrement (périodicité de 3 à 4 ans) pour mesurer l’écart entre les résultats, vérifier l’intérêt des actions mises en place et prendre en considération de nouveaux critères.</w:t>
      </w:r>
    </w:p>
    <w:p w:rsidR="00412883" w:rsidRDefault="00412883" w:rsidP="00DC0C10">
      <w:pPr>
        <w:rPr>
          <w:rFonts w:ascii="Arial" w:hAnsi="Arial" w:cs="Arial"/>
          <w:sz w:val="18"/>
          <w:szCs w:val="18"/>
        </w:rPr>
      </w:pPr>
    </w:p>
    <w:p w:rsidR="002A79DA" w:rsidRDefault="002A79DA" w:rsidP="00DC0C10">
      <w:pPr>
        <w:rPr>
          <w:rFonts w:ascii="Arial" w:hAnsi="Arial" w:cs="Arial"/>
          <w:sz w:val="18"/>
          <w:szCs w:val="18"/>
        </w:rPr>
      </w:pPr>
    </w:p>
    <w:p w:rsidR="002A79DA" w:rsidRDefault="00DC0C10" w:rsidP="00DC0C10">
      <w:pPr>
        <w:pStyle w:val="-LettreTexteespacGEDA"/>
        <w:spacing w:before="120"/>
        <w:ind w:firstLine="0"/>
        <w:rPr>
          <w:rFonts w:ascii="Cambria" w:hAnsi="Cambria"/>
          <w:b/>
          <w:bCs/>
        </w:rPr>
      </w:pPr>
      <w:r>
        <w:rPr>
          <w:rFonts w:ascii="Cambria" w:hAnsi="Cambria"/>
          <w:b/>
          <w:bCs/>
        </w:rPr>
        <w:t>Chiffres clés du bilan social de l’administration de la Polynésie française</w:t>
      </w:r>
    </w:p>
    <w:p w:rsidR="000B150B" w:rsidRPr="000B150B" w:rsidRDefault="000B150B" w:rsidP="000B150B">
      <w:pPr>
        <w:pStyle w:val="-LettreTexteGEDA"/>
      </w:pPr>
    </w:p>
    <w:p w:rsidR="00DC0C10" w:rsidRPr="002A79DA" w:rsidRDefault="00DC0C10" w:rsidP="00DC0C10">
      <w:pPr>
        <w:pStyle w:val="-LettreTexteespacGEDA"/>
        <w:spacing w:before="120"/>
        <w:ind w:firstLine="0"/>
        <w:rPr>
          <w:rFonts w:ascii="Cambria" w:hAnsi="Cambria"/>
          <w:b/>
          <w:bCs/>
          <w:szCs w:val="24"/>
        </w:rPr>
      </w:pPr>
      <w:r>
        <w:rPr>
          <w:rFonts w:ascii="Cambria" w:hAnsi="Cambria"/>
        </w:rPr>
        <w:t xml:space="preserve">Le rapport du Président de la Polynésie française à l’Assemblée de la Polynésie française consacre chaque année une partie dédiée au bilan social des services administratifs et des établissements publics à caractère administratif (EPA). </w:t>
      </w:r>
    </w:p>
    <w:p w:rsidR="00DC0C10" w:rsidRDefault="00DC0C10" w:rsidP="00DC0C10">
      <w:pPr>
        <w:pStyle w:val="-LettreTexteespacGEDA"/>
        <w:spacing w:before="120"/>
        <w:ind w:firstLine="0"/>
        <w:rPr>
          <w:rFonts w:ascii="Cambria" w:hAnsi="Cambria"/>
        </w:rPr>
      </w:pPr>
      <w:r>
        <w:rPr>
          <w:rFonts w:ascii="Cambria" w:hAnsi="Cambria"/>
        </w:rPr>
        <w:t xml:space="preserve">Au 31 décembre 2019, 8 584 agents ont contribué à l’activité des services administratifs et des établissements publics à caractère administratif, soit respectivement 5 930 agents, dont 4 808 sur postes budgétaires, et 2 654 agents, dont 2 525 sur postes budgétaires. </w:t>
      </w:r>
    </w:p>
    <w:p w:rsidR="00DC0C10" w:rsidRDefault="00DC0C10" w:rsidP="00DC0C10">
      <w:pPr>
        <w:pStyle w:val="-LettreTexteespacGEDA"/>
        <w:spacing w:before="120"/>
        <w:ind w:firstLine="0"/>
        <w:rPr>
          <w:rFonts w:ascii="Cambria" w:hAnsi="Cambria"/>
        </w:rPr>
      </w:pPr>
      <w:r>
        <w:rPr>
          <w:rFonts w:ascii="Cambria" w:hAnsi="Cambria"/>
        </w:rPr>
        <w:t>Sur la dernière décennie, après sept années de baisse constante entre 2010-2016, le nombre de postes bud</w:t>
      </w:r>
      <w:r w:rsidR="000B150B">
        <w:rPr>
          <w:rFonts w:ascii="Cambria" w:hAnsi="Cambria"/>
        </w:rPr>
        <w:t>gétaires ouverts augmente (2019</w:t>
      </w:r>
      <w:r>
        <w:rPr>
          <w:rFonts w:ascii="Cambria" w:hAnsi="Cambria"/>
        </w:rPr>
        <w:t xml:space="preserve">: +1,81%). Une stabilité des effectifs émargeant sur postes budgétaires de la Polynésie française est ainsi observée, par un effet croisé des départs à la retraite (236 agents en 2019) et l’arrivée de nouvelles recrues par l’ouverture des concours et la création de nouveaux postes. </w:t>
      </w:r>
    </w:p>
    <w:p w:rsidR="00DC0C10" w:rsidRDefault="00DC0C10" w:rsidP="00DC0C10">
      <w:pPr>
        <w:pStyle w:val="-LettreTexteespacGEDA"/>
        <w:spacing w:before="120"/>
        <w:ind w:firstLine="0"/>
        <w:rPr>
          <w:rFonts w:ascii="Cambria" w:hAnsi="Cambria"/>
        </w:rPr>
      </w:pPr>
      <w:r>
        <w:rPr>
          <w:rFonts w:ascii="Cambria" w:hAnsi="Cambria"/>
        </w:rPr>
        <w:t xml:space="preserve">Le nombre de contrats aidés sur les dispositifs d’insertion professionnelle est en augmentation en 2019, avec 942 personnels contribuant à l’activité des services, auxquels est offerte l’opportunité d’une expérience professionnelle pouvant parfois déboucher sur </w:t>
      </w:r>
      <w:r>
        <w:rPr>
          <w:rFonts w:ascii="Cambria" w:hAnsi="Cambria"/>
        </w:rPr>
        <w:lastRenderedPageBreak/>
        <w:t>un recrutement temporaire auprès des services, ou permanent par le biais des concours. Le personnel des établissements publics administratifs est en légère augmentation (1,69%) entre 2018 et 2019 pour s’établir à 2654 agents, personnels sur dispositifs d’insertion professionnelle compris.</w:t>
      </w:r>
    </w:p>
    <w:p w:rsidR="00DC0C10" w:rsidRDefault="00DC0C10" w:rsidP="00DC0C10">
      <w:pPr>
        <w:pStyle w:val="-LettreTexteespacGEDA"/>
        <w:spacing w:before="120"/>
        <w:ind w:firstLine="0"/>
        <w:rPr>
          <w:rFonts w:ascii="Cambria" w:hAnsi="Cambria"/>
        </w:rPr>
      </w:pPr>
      <w:r>
        <w:rPr>
          <w:rFonts w:ascii="Cambria" w:hAnsi="Cambria"/>
        </w:rPr>
        <w:t>Sur l’effectif budgétaire en 2019, soit 4 808 agents, la répartition des effectifs entre les archipels avoisine celle de l’an dernier, avec une concentration toujours forte sur les îles de la Société, dont principalement aux îles du Vent avec 77% des effectifs. Néanmoins, rapportés au nombre de salariés, les agents de l’administration représentent par archipel : 52,7% aux Australes, 37% aux Marquises, 12,3% aux Tuamotu-Gambier, 10,1% au îles Sous-le-Vent et 6,2% aux îles du Vent.</w:t>
      </w:r>
    </w:p>
    <w:p w:rsidR="00DC0C10" w:rsidRDefault="00DC0C10" w:rsidP="00DC0C10">
      <w:pPr>
        <w:pStyle w:val="-LettreTexteespacGEDA"/>
        <w:spacing w:before="120"/>
        <w:ind w:firstLine="0"/>
        <w:rPr>
          <w:rFonts w:ascii="Cambria" w:hAnsi="Cambria"/>
        </w:rPr>
      </w:pPr>
      <w:r>
        <w:rPr>
          <w:rFonts w:ascii="Cambria" w:hAnsi="Cambria"/>
        </w:rPr>
        <w:t>La féminisation des agents recrutés sur postes budgétaires est une constante observée depuis 10 ans, les femmes représentant 44% des effectifs en 2009, 46% en 2014, pour atteindre 50% en 2019. Plus de la moitié des effectifs (63.8%) de l’administration a plus de 40 ans et 1 457 agents sont ainsi éligibles au départ à la retraite sur les 10 prochaines années.</w:t>
      </w:r>
    </w:p>
    <w:p w:rsidR="00DC0C10" w:rsidRDefault="00DC0C10" w:rsidP="00DC0C10">
      <w:pPr>
        <w:pStyle w:val="-LettreTexteespacGEDA"/>
        <w:spacing w:before="120"/>
        <w:ind w:firstLine="0"/>
        <w:rPr>
          <w:rFonts w:ascii="Cambria" w:hAnsi="Cambria"/>
        </w:rPr>
      </w:pPr>
      <w:r>
        <w:rPr>
          <w:rFonts w:ascii="Cambria" w:hAnsi="Cambria"/>
        </w:rPr>
        <w:t>Parmi les métiers les plus représentés, dont l’effectif est le plus important, figurent essentiellement ceux de la santé (infirmier, aide-soignant, médecin) mais aussi les métiers supports (secrétaire, agent d'entretien de locaux et d'espaces publics) représentant respectivement 3 à 9% de l’effectif budgétaire global. Il existe ainsi 190 métiers dans l’administration, parmi lesquels 6 métiers ont un effectif supérieur à 100 agents représentant 56% des effectifs globaux, et 110 métiers, ayant moins de 20 agents, avec des spécialisations, pour des métiers tels que préventionniste, chargé d’affaires en énergie, géomaticien, ou encore inspecteur du travail.</w:t>
      </w:r>
    </w:p>
    <w:p w:rsidR="00DC0C10" w:rsidRDefault="00DC0C10" w:rsidP="00DC0C10">
      <w:pPr>
        <w:pStyle w:val="-LettreTexteespacGEDA"/>
        <w:spacing w:before="120"/>
        <w:ind w:firstLine="0"/>
        <w:rPr>
          <w:rFonts w:ascii="Cambria" w:hAnsi="Cambria"/>
        </w:rPr>
      </w:pPr>
      <w:r>
        <w:rPr>
          <w:rFonts w:ascii="Cambria" w:hAnsi="Cambria"/>
          <w:lang w:eastAsia="en-US"/>
        </w:rPr>
        <w:t xml:space="preserve">Les porteurs de handicap sont reconnus travailleurs handicapés (TRH) après examen par la commission technique d'orientation et de reclassement professionnel (COTOREP). Cependant, l’attestation délivrée sur une durée limitée fait l’objet d’un réexamen, et peut ainsi être renouvelée, retirée, ou partiellement retirée. Le handicap peut alors ne plus être reconnu et le bénéficiaire peut aussi décider de ne plus le faire valoir. En conséquence, ces variables impactent le nombre réel de TRH en activité, dans l’administration. Ainsi en 2019, les 84 TRH rapportés aux personnels de l’administration tels que définis par les dispositions réglementaires, représente un taux d’emploi de 1,25%, ce qui est légèrement inférieur au taux minimal requis de 1,5%. </w:t>
      </w:r>
    </w:p>
    <w:p w:rsidR="00DC0C10" w:rsidRDefault="00DC0C10" w:rsidP="00DC0C10">
      <w:pPr>
        <w:pStyle w:val="-LettreTexteGEDA"/>
        <w:ind w:firstLine="0"/>
        <w:rPr>
          <w:rFonts w:ascii="Cambria" w:hAnsi="Cambria"/>
        </w:rPr>
      </w:pPr>
      <w:r>
        <w:rPr>
          <w:rFonts w:ascii="Cambria" w:hAnsi="Cambria"/>
        </w:rPr>
        <w:t>En matière de formation, le programme mis en œuvre par la DGRH (Direction générale des ressources humaines) a été réalisé à 80%. Ainis 62 modules de sessions ont été organisés au bénéfice de 2 025 agents. Afin d’améliorer l’offre de formation aux agents publics, la convention du 30 décembre 2019 relative aux conditions de partenariat 2020-2023 entre la Polynésie française et le Centre National de la Fonction Publique Territoriale (CNFPT), a été formalisée dans le cadre de la stratégie de formation professionnelle 2020-2023 des agents de l’</w:t>
      </w:r>
      <w:r w:rsidR="00AC57FB">
        <w:rPr>
          <w:rFonts w:ascii="Cambria" w:hAnsi="Cambria"/>
        </w:rPr>
        <w:t>a</w:t>
      </w:r>
      <w:r>
        <w:rPr>
          <w:rFonts w:ascii="Cambria" w:hAnsi="Cambria"/>
        </w:rPr>
        <w:t xml:space="preserve">dministration de la Polynésie française.  </w:t>
      </w:r>
    </w:p>
    <w:p w:rsidR="00DC0C10" w:rsidRDefault="00DC0C10" w:rsidP="00DC0C10">
      <w:pPr>
        <w:pStyle w:val="-LettreObjetGEDA"/>
        <w:ind w:left="0" w:firstLine="0"/>
        <w:rPr>
          <w:rFonts w:ascii="Arial" w:hAnsi="Arial" w:cs="Arial"/>
          <w:sz w:val="18"/>
          <w:szCs w:val="18"/>
          <w:lang w:eastAsia="es-ES"/>
        </w:rPr>
      </w:pPr>
    </w:p>
    <w:p w:rsidR="00DC0C10" w:rsidRPr="00E879D4" w:rsidRDefault="00DC0C10" w:rsidP="00E879D4">
      <w:pPr>
        <w:pStyle w:val="-LettreTexteGEDA"/>
        <w:ind w:firstLine="0"/>
        <w:rPr>
          <w:rStyle w:val="normaltextrun"/>
          <w:rFonts w:ascii="Cambria" w:hAnsi="Cambria"/>
          <w:b/>
        </w:rPr>
      </w:pPr>
      <w:r w:rsidRPr="00E879D4">
        <w:rPr>
          <w:rStyle w:val="normaltextrun"/>
          <w:rFonts w:ascii="Cambria" w:hAnsi="Cambria"/>
          <w:b/>
        </w:rPr>
        <w:t>Subvention en faveur du Conservatoire artistique de la Polynésie française – Te Fare Upa Rau (CAPF)</w:t>
      </w:r>
    </w:p>
    <w:p w:rsidR="00DC0C10" w:rsidRDefault="00DC0C10" w:rsidP="00DC0C10">
      <w:pPr>
        <w:pStyle w:val="-LettreTexteGEDA"/>
        <w:ind w:firstLine="0"/>
        <w:rPr>
          <w:rStyle w:val="normaltextrun"/>
          <w:rFonts w:ascii="Cambria" w:hAnsi="Cambria"/>
        </w:rPr>
      </w:pPr>
      <w:r>
        <w:rPr>
          <w:rStyle w:val="normaltextrun"/>
          <w:rFonts w:ascii="Cambria" w:hAnsi="Cambria"/>
        </w:rPr>
        <w:t>Le Conseil des ministres a</w:t>
      </w:r>
      <w:r w:rsidRPr="00DC0C10">
        <w:rPr>
          <w:rStyle w:val="normaltextrun"/>
          <w:rFonts w:ascii="Cambria" w:hAnsi="Cambria"/>
        </w:rPr>
        <w:t xml:space="preserve">ttribué </w:t>
      </w:r>
      <w:r>
        <w:rPr>
          <w:rStyle w:val="normaltextrun"/>
          <w:rFonts w:ascii="Cambria" w:hAnsi="Cambria"/>
        </w:rPr>
        <w:t>deux</w:t>
      </w:r>
      <w:r w:rsidRPr="00DC0C10">
        <w:rPr>
          <w:rStyle w:val="normaltextrun"/>
          <w:rFonts w:ascii="Cambria" w:hAnsi="Cambria"/>
        </w:rPr>
        <w:t xml:space="preserve"> subvention</w:t>
      </w:r>
      <w:r>
        <w:rPr>
          <w:rStyle w:val="normaltextrun"/>
          <w:rFonts w:ascii="Cambria" w:hAnsi="Cambria"/>
        </w:rPr>
        <w:t>s</w:t>
      </w:r>
      <w:r w:rsidRPr="00DC0C10">
        <w:rPr>
          <w:rStyle w:val="normaltextrun"/>
          <w:rFonts w:ascii="Cambria" w:hAnsi="Cambria"/>
        </w:rPr>
        <w:t xml:space="preserve"> en faveur du Conservatoire artistique de la Polynésie française – Te Fare Upa Rau (CAPF), </w:t>
      </w:r>
    </w:p>
    <w:p w:rsidR="00DC0C10" w:rsidRDefault="00DC0C10" w:rsidP="00DC0C10">
      <w:pPr>
        <w:pStyle w:val="-LettreTexteGEDA"/>
        <w:ind w:firstLine="0"/>
        <w:rPr>
          <w:rStyle w:val="normaltextrun"/>
          <w:rFonts w:ascii="Cambria" w:hAnsi="Cambria"/>
        </w:rPr>
      </w:pPr>
      <w:r>
        <w:rPr>
          <w:rStyle w:val="normaltextrun"/>
          <w:rFonts w:ascii="Cambria" w:hAnsi="Cambria"/>
        </w:rPr>
        <w:lastRenderedPageBreak/>
        <w:t>La première</w:t>
      </w:r>
      <w:r w:rsidR="005019FE">
        <w:rPr>
          <w:rStyle w:val="normaltextrun"/>
          <w:rFonts w:ascii="Cambria" w:hAnsi="Cambria"/>
        </w:rPr>
        <w:t xml:space="preserve"> subvention</w:t>
      </w:r>
      <w:r>
        <w:rPr>
          <w:rStyle w:val="normaltextrun"/>
          <w:rFonts w:ascii="Cambria" w:hAnsi="Cambria"/>
        </w:rPr>
        <w:t xml:space="preserve">, </w:t>
      </w:r>
      <w:r w:rsidRPr="00DC0C10">
        <w:rPr>
          <w:rStyle w:val="normaltextrun"/>
          <w:rFonts w:ascii="Cambria" w:hAnsi="Cambria"/>
        </w:rPr>
        <w:t xml:space="preserve">d’un montant de </w:t>
      </w:r>
      <w:r>
        <w:rPr>
          <w:rStyle w:val="normaltextrun"/>
          <w:rFonts w:ascii="Cambria" w:hAnsi="Cambria"/>
        </w:rPr>
        <w:t>2 800 000 Fcfp, permettra</w:t>
      </w:r>
      <w:r w:rsidR="005019FE">
        <w:rPr>
          <w:rStyle w:val="normaltextrun"/>
          <w:rFonts w:ascii="Cambria" w:hAnsi="Cambria"/>
        </w:rPr>
        <w:t xml:space="preserve"> au CAPF</w:t>
      </w:r>
      <w:r>
        <w:rPr>
          <w:rStyle w:val="normaltextrun"/>
          <w:rFonts w:ascii="Cambria" w:hAnsi="Cambria"/>
        </w:rPr>
        <w:t xml:space="preserve"> </w:t>
      </w:r>
      <w:r w:rsidRPr="00DC0C10">
        <w:rPr>
          <w:rStyle w:val="normaltextrun"/>
          <w:rFonts w:ascii="Cambria" w:hAnsi="Cambria"/>
        </w:rPr>
        <w:t>l’acquisition de matériels pédagogiques et techniques au titre de l’année 2020</w:t>
      </w:r>
      <w:r>
        <w:rPr>
          <w:rStyle w:val="normaltextrun"/>
          <w:rFonts w:ascii="Cambria" w:hAnsi="Cambria"/>
        </w:rPr>
        <w:t xml:space="preserve"> afin de </w:t>
      </w:r>
      <w:r w:rsidRPr="00DC0C10">
        <w:rPr>
          <w:rStyle w:val="normaltextrun"/>
          <w:rFonts w:ascii="Cambria" w:hAnsi="Cambria"/>
        </w:rPr>
        <w:t xml:space="preserve">renouveler et augmenter </w:t>
      </w:r>
      <w:r w:rsidR="005019FE">
        <w:rPr>
          <w:rStyle w:val="normaltextrun"/>
          <w:rFonts w:ascii="Cambria" w:hAnsi="Cambria"/>
        </w:rPr>
        <w:t>le</w:t>
      </w:r>
      <w:r w:rsidRPr="00DC0C10">
        <w:rPr>
          <w:rStyle w:val="normaltextrun"/>
          <w:rFonts w:ascii="Cambria" w:hAnsi="Cambria"/>
        </w:rPr>
        <w:t xml:space="preserve"> parc instrumental et sonore devenu vieillissant et pour s’équiper en matériel de scène.</w:t>
      </w:r>
      <w:r w:rsidR="005019FE">
        <w:rPr>
          <w:rStyle w:val="normaltextrun"/>
          <w:rFonts w:ascii="Cambria" w:hAnsi="Cambria"/>
        </w:rPr>
        <w:t xml:space="preserve"> P</w:t>
      </w:r>
      <w:r w:rsidRPr="00DC0C10">
        <w:rPr>
          <w:rStyle w:val="normaltextrun"/>
          <w:rFonts w:ascii="Cambria" w:hAnsi="Cambria"/>
        </w:rPr>
        <w:t xml:space="preserve">our un bon fonctionnement de l’établissement et pour accueillir près de 2 000 élèves chaque semaine, il est </w:t>
      </w:r>
      <w:r w:rsidR="005019FE">
        <w:rPr>
          <w:rStyle w:val="normaltextrun"/>
          <w:rFonts w:ascii="Cambria" w:hAnsi="Cambria"/>
        </w:rPr>
        <w:t xml:space="preserve">en effet </w:t>
      </w:r>
      <w:r w:rsidRPr="00DC0C10">
        <w:rPr>
          <w:rStyle w:val="normaltextrun"/>
          <w:rFonts w:ascii="Cambria" w:hAnsi="Cambria"/>
        </w:rPr>
        <w:t xml:space="preserve">nécessaire </w:t>
      </w:r>
      <w:r w:rsidR="005019FE">
        <w:rPr>
          <w:rStyle w:val="normaltextrun"/>
          <w:rFonts w:ascii="Cambria" w:hAnsi="Cambria"/>
        </w:rPr>
        <w:t>de maintenir au meilleur niveau les</w:t>
      </w:r>
      <w:r w:rsidRPr="00DC0C10">
        <w:rPr>
          <w:rStyle w:val="normaltextrun"/>
          <w:rFonts w:ascii="Cambria" w:hAnsi="Cambria"/>
        </w:rPr>
        <w:t xml:space="preserve"> conditions de travail des professeurs et des élèves.</w:t>
      </w:r>
      <w:r w:rsidR="005019FE">
        <w:rPr>
          <w:rStyle w:val="normaltextrun"/>
          <w:rFonts w:ascii="Cambria" w:hAnsi="Cambria"/>
        </w:rPr>
        <w:t xml:space="preserve"> </w:t>
      </w:r>
      <w:r w:rsidRPr="00DC0C10">
        <w:rPr>
          <w:rStyle w:val="normaltextrun"/>
          <w:rFonts w:ascii="Cambria" w:hAnsi="Cambria"/>
        </w:rPr>
        <w:t>Dans cette optique, l’établissement a entrepris depuis quelques années une démarche de réhabilitation de ses structures, de renforcement de la sécurité de ses espaces extérieurs et d’acquisition de matériels pédagogiques et techniques.</w:t>
      </w:r>
    </w:p>
    <w:p w:rsidR="00E879D4" w:rsidRPr="00E879D4" w:rsidRDefault="00DC0C10" w:rsidP="00E879D4">
      <w:pPr>
        <w:pStyle w:val="-LettreTexteGEDA"/>
        <w:ind w:firstLine="0"/>
        <w:rPr>
          <w:rStyle w:val="normaltextrun"/>
          <w:rFonts w:ascii="Cambria" w:hAnsi="Cambria"/>
        </w:rPr>
      </w:pPr>
      <w:r>
        <w:rPr>
          <w:rStyle w:val="normaltextrun"/>
          <w:rFonts w:ascii="Cambria" w:hAnsi="Cambria"/>
        </w:rPr>
        <w:t>La deuxième</w:t>
      </w:r>
      <w:r w:rsidR="005019FE">
        <w:rPr>
          <w:rStyle w:val="normaltextrun"/>
          <w:rFonts w:ascii="Cambria" w:hAnsi="Cambria"/>
        </w:rPr>
        <w:t xml:space="preserve"> subvention</w:t>
      </w:r>
      <w:r>
        <w:rPr>
          <w:rStyle w:val="normaltextrun"/>
          <w:rFonts w:ascii="Cambria" w:hAnsi="Cambria"/>
        </w:rPr>
        <w:t xml:space="preserve">, d’un montant de </w:t>
      </w:r>
      <w:r w:rsidRPr="00E879D4">
        <w:rPr>
          <w:rStyle w:val="normaltextrun"/>
          <w:rFonts w:ascii="Cambria" w:hAnsi="Cambria"/>
        </w:rPr>
        <w:t xml:space="preserve">2 700 000 Fcfp, </w:t>
      </w:r>
      <w:r w:rsidR="00E879D4">
        <w:rPr>
          <w:rStyle w:val="normaltextrun"/>
          <w:rFonts w:ascii="Cambria" w:hAnsi="Cambria"/>
        </w:rPr>
        <w:t>est destinée à</w:t>
      </w:r>
      <w:r w:rsidR="00E879D4" w:rsidRPr="00E879D4">
        <w:rPr>
          <w:rStyle w:val="normaltextrun"/>
          <w:rFonts w:ascii="Cambria" w:hAnsi="Cambria"/>
        </w:rPr>
        <w:t xml:space="preserve"> la réalisation d’une structure de protection sur le paepae a</w:t>
      </w:r>
      <w:r w:rsidR="00E879D4">
        <w:rPr>
          <w:rStyle w:val="normaltextrun"/>
          <w:rFonts w:ascii="Cambria" w:hAnsi="Cambria"/>
        </w:rPr>
        <w:t xml:space="preserve"> Maco Tevane. </w:t>
      </w:r>
      <w:r w:rsidR="00E879D4" w:rsidRPr="00E879D4">
        <w:rPr>
          <w:rStyle w:val="normaltextrun"/>
          <w:rFonts w:ascii="Cambria" w:hAnsi="Cambria"/>
        </w:rPr>
        <w:t xml:space="preserve">En effet, en 2017, dans le cadre des travaux d’aménagement et de réhabilitation de ses structures, l’établissement a construit une scène à ciel ouvert, </w:t>
      </w:r>
      <w:r w:rsidR="00E879D4" w:rsidRPr="00E879D4">
        <w:rPr>
          <w:rStyle w:val="normaltextrun"/>
          <w:rFonts w:ascii="Cambria" w:hAnsi="Cambria"/>
          <w:i/>
        </w:rPr>
        <w:t>baptisée « paepae a Maco Tevane</w:t>
      </w:r>
      <w:r w:rsidR="005019FE">
        <w:rPr>
          <w:rStyle w:val="normaltextrun"/>
          <w:rFonts w:ascii="Cambria" w:hAnsi="Cambria"/>
          <w:i/>
        </w:rPr>
        <w:t xml:space="preserve"> </w:t>
      </w:r>
      <w:r w:rsidR="00E879D4" w:rsidRPr="00E879D4">
        <w:rPr>
          <w:rStyle w:val="normaltextrun"/>
          <w:rFonts w:ascii="Cambria" w:hAnsi="Cambria"/>
          <w:i/>
        </w:rPr>
        <w:t>»</w:t>
      </w:r>
      <w:r w:rsidR="00E879D4" w:rsidRPr="00E879D4">
        <w:rPr>
          <w:rStyle w:val="normaltextrun"/>
          <w:rFonts w:ascii="Cambria" w:hAnsi="Cambria"/>
        </w:rPr>
        <w:t xml:space="preserve">. </w:t>
      </w:r>
      <w:r w:rsidR="005019FE">
        <w:rPr>
          <w:rStyle w:val="normaltextrun"/>
          <w:rFonts w:ascii="Cambria" w:hAnsi="Cambria"/>
        </w:rPr>
        <w:t>Celle-ci</w:t>
      </w:r>
      <w:r w:rsidR="00E879D4" w:rsidRPr="00E879D4">
        <w:rPr>
          <w:rStyle w:val="normaltextrun"/>
          <w:rFonts w:ascii="Cambria" w:hAnsi="Cambria"/>
        </w:rPr>
        <w:t xml:space="preserve"> permet d’accueillir des formations classiques ou traditionnelles ainsi qu’un public plus nombreux. Elle est pourvue d’équipements techniques (bâches, lumières) de manière à pouvoir l’utiliser à tout moment de la journée ou de la soirée.</w:t>
      </w:r>
    </w:p>
    <w:p w:rsidR="00E879D4" w:rsidRPr="00E879D4" w:rsidRDefault="00E879D4" w:rsidP="00E879D4">
      <w:pPr>
        <w:pStyle w:val="-LettreTexteGEDA"/>
        <w:ind w:firstLine="0"/>
        <w:rPr>
          <w:rStyle w:val="normaltextrun"/>
          <w:rFonts w:ascii="Cambria" w:hAnsi="Cambria"/>
        </w:rPr>
      </w:pPr>
      <w:r w:rsidRPr="00E879D4">
        <w:rPr>
          <w:rStyle w:val="normaltextrun"/>
          <w:rFonts w:ascii="Cambria" w:hAnsi="Cambria"/>
        </w:rPr>
        <w:t xml:space="preserve">Ces dernières années, les activités du CAPF se sont multipliées, notamment en matière de réalisation de spectacles et de gala dans toutes </w:t>
      </w:r>
      <w:r w:rsidR="005019FE">
        <w:rPr>
          <w:rStyle w:val="normaltextrun"/>
          <w:rFonts w:ascii="Cambria" w:hAnsi="Cambria"/>
        </w:rPr>
        <w:t>l</w:t>
      </w:r>
      <w:r w:rsidRPr="00E879D4">
        <w:rPr>
          <w:rStyle w:val="normaltextrun"/>
          <w:rFonts w:ascii="Cambria" w:hAnsi="Cambria"/>
        </w:rPr>
        <w:t xml:space="preserve">es sections d’enseignement. Afin d’accompagner cette croissance d’activité, il </w:t>
      </w:r>
      <w:r w:rsidR="005019FE">
        <w:rPr>
          <w:rStyle w:val="normaltextrun"/>
          <w:rFonts w:ascii="Cambria" w:hAnsi="Cambria"/>
        </w:rPr>
        <w:t>est donc devenu</w:t>
      </w:r>
      <w:r w:rsidRPr="00E879D4">
        <w:rPr>
          <w:rStyle w:val="normaltextrun"/>
          <w:rFonts w:ascii="Cambria" w:hAnsi="Cambria"/>
        </w:rPr>
        <w:t xml:space="preserve"> nécessaire de mettre en place sur le paepae a Maco </w:t>
      </w:r>
      <w:r>
        <w:rPr>
          <w:rStyle w:val="normaltextrun"/>
          <w:rFonts w:ascii="Cambria" w:hAnsi="Cambria"/>
        </w:rPr>
        <w:t>Tevane</w:t>
      </w:r>
      <w:r w:rsidRPr="00E879D4">
        <w:rPr>
          <w:rStyle w:val="normaltextrun"/>
          <w:rFonts w:ascii="Cambria" w:hAnsi="Cambria"/>
        </w:rPr>
        <w:t xml:space="preserve"> une toile de protection pour les prestations en cas d’intempéries ou de fort ensoleillement.</w:t>
      </w:r>
    </w:p>
    <w:p w:rsidR="005019FE" w:rsidRDefault="005019FE" w:rsidP="005019FE">
      <w:pPr>
        <w:spacing w:after="200" w:line="276" w:lineRule="auto"/>
      </w:pPr>
    </w:p>
    <w:p w:rsidR="00D04AC3" w:rsidRPr="005019FE" w:rsidRDefault="00D04AC3" w:rsidP="005019FE">
      <w:pPr>
        <w:spacing w:after="200" w:line="276" w:lineRule="auto"/>
        <w:jc w:val="both"/>
        <w:rPr>
          <w:noProof/>
          <w:lang w:eastAsia="fr-FR"/>
        </w:rPr>
      </w:pPr>
      <w:r>
        <w:rPr>
          <w:rFonts w:asciiTheme="majorHAnsi" w:hAnsiTheme="majorHAnsi"/>
          <w:b/>
        </w:rPr>
        <w:t xml:space="preserve">Subventions de fonctionnement en faveur d’établissements publics </w:t>
      </w:r>
      <w:r>
        <w:rPr>
          <w:rFonts w:asciiTheme="majorHAnsi" w:hAnsiTheme="majorHAnsi"/>
          <w:b/>
          <w:bCs/>
        </w:rPr>
        <w:t>d’enseignement de la Polynésie française</w:t>
      </w:r>
    </w:p>
    <w:p w:rsidR="00D04AC3" w:rsidRDefault="00D04AC3" w:rsidP="00D04AC3">
      <w:pPr>
        <w:pStyle w:val="-LettreTexteGEDA"/>
        <w:ind w:firstLine="0"/>
        <w:rPr>
          <w:rFonts w:asciiTheme="majorHAnsi" w:hAnsiTheme="majorHAnsi"/>
          <w:noProof w:val="0"/>
          <w:szCs w:val="24"/>
        </w:rPr>
      </w:pPr>
      <w:r w:rsidRPr="00D04AC3">
        <w:rPr>
          <w:rFonts w:asciiTheme="majorHAnsi" w:hAnsiTheme="majorHAnsi"/>
          <w:noProof w:val="0"/>
          <w:szCs w:val="24"/>
        </w:rPr>
        <w:t>Le Conseil des ministres a approuvé plusieurs subventions en faveur d’établissements publics d’enseignement de la Polynésie française pour financer les opérations suivantes :</w:t>
      </w:r>
    </w:p>
    <w:p w:rsidR="008621A3" w:rsidRDefault="008621A3" w:rsidP="00D04AC3">
      <w:pPr>
        <w:pStyle w:val="-LettreTexteGEDA"/>
        <w:ind w:firstLine="0"/>
        <w:rPr>
          <w:rFonts w:asciiTheme="majorHAnsi" w:hAnsiTheme="majorHAnsi"/>
          <w:noProof w:val="0"/>
          <w:szCs w:val="24"/>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8621A3" w:rsidTr="008621A3">
        <w:trPr>
          <w:trHeight w:val="39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Default="008621A3">
            <w:pPr>
              <w:pStyle w:val="-LettreTexteGEDA"/>
              <w:spacing w:before="0"/>
              <w:ind w:firstLine="0"/>
              <w:jc w:val="center"/>
              <w:rPr>
                <w:b/>
                <w:noProof w:val="0"/>
              </w:rPr>
            </w:pPr>
            <w:r>
              <w:rPr>
                <w:b/>
                <w:noProof w:val="0"/>
              </w:rPr>
              <w:t>Bénéficiaire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Default="008621A3">
            <w:pPr>
              <w:pStyle w:val="-LettreTexteGEDA"/>
              <w:spacing w:before="0"/>
              <w:ind w:firstLine="0"/>
              <w:jc w:val="center"/>
              <w:rPr>
                <w:b/>
                <w:noProof w:val="0"/>
              </w:rPr>
            </w:pPr>
            <w:r>
              <w:rPr>
                <w:b/>
                <w:noProof w:val="0"/>
              </w:rPr>
              <w:t>Objet de la subvention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Default="008621A3">
            <w:pPr>
              <w:pStyle w:val="-LettreTexteGEDA"/>
              <w:spacing w:before="0"/>
              <w:ind w:firstLine="0"/>
              <w:jc w:val="center"/>
              <w:rPr>
                <w:noProof w:val="0"/>
              </w:rPr>
            </w:pPr>
            <w:r>
              <w:rPr>
                <w:b/>
                <w:noProof w:val="0"/>
              </w:rPr>
              <w:t xml:space="preserve">Montant en </w:t>
            </w:r>
          </w:p>
          <w:p w:rsidR="008621A3" w:rsidRDefault="008621A3">
            <w:pPr>
              <w:pStyle w:val="-LettreTexteGEDA"/>
              <w:spacing w:before="0"/>
              <w:ind w:firstLine="0"/>
              <w:jc w:val="center"/>
              <w:rPr>
                <w:b/>
                <w:noProof w:val="0"/>
              </w:rPr>
            </w:pPr>
            <w:proofErr w:type="spellStart"/>
            <w:r>
              <w:rPr>
                <w:b/>
                <w:noProof w:val="0"/>
              </w:rPr>
              <w:t>Fcfp</w:t>
            </w:r>
            <w:proofErr w:type="spellEnd"/>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Collège d’Arue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remise aux normes des installations électriques du collège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1 674 860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Collège d’Arue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location d’un groupe électrogène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165 545</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Collège d’</w:t>
            </w:r>
            <w:proofErr w:type="spellStart"/>
            <w:r w:rsidRPr="008621A3">
              <w:rPr>
                <w:rFonts w:asciiTheme="majorHAnsi" w:hAnsiTheme="majorHAnsi"/>
                <w:noProof w:val="0"/>
                <w:szCs w:val="24"/>
              </w:rPr>
              <w:t>Arue</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 renouvellement des chaises des salles de classe du rez-de-chaussée des bâtiments A et B</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2 582 160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Hitia’a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Les petits-déjeuners à destination des élèves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1 552 200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Hitia’a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pose de faux plafonds dans 4 salles de classe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1 726 126</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Hitia’a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L’équipement en rideaux ignifugés de 10 salles de classes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797 876</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5019FE">
            <w:pPr>
              <w:pStyle w:val="-LettreTexteGEDA"/>
              <w:spacing w:before="0"/>
              <w:ind w:firstLine="0"/>
              <w:rPr>
                <w:rFonts w:asciiTheme="majorHAnsi" w:hAnsiTheme="majorHAnsi"/>
                <w:noProof w:val="0"/>
                <w:szCs w:val="24"/>
              </w:rPr>
            </w:pPr>
            <w:r w:rsidRPr="008621A3">
              <w:rPr>
                <w:rFonts w:asciiTheme="majorHAnsi" w:hAnsiTheme="majorHAnsi"/>
                <w:noProof w:val="0"/>
                <w:szCs w:val="24"/>
              </w:rPr>
              <w:t xml:space="preserve">Collège-Lycée Anne-Marie </w:t>
            </w:r>
            <w:proofErr w:type="spellStart"/>
            <w:r w:rsidRPr="008621A3">
              <w:rPr>
                <w:rFonts w:asciiTheme="majorHAnsi" w:hAnsiTheme="majorHAnsi"/>
                <w:noProof w:val="0"/>
                <w:szCs w:val="24"/>
              </w:rPr>
              <w:t>Javouhey</w:t>
            </w:r>
            <w:proofErr w:type="spellEnd"/>
            <w:r w:rsidRPr="008621A3">
              <w:rPr>
                <w:rFonts w:asciiTheme="majorHAnsi" w:hAnsiTheme="majorHAnsi"/>
                <w:noProof w:val="0"/>
                <w:szCs w:val="24"/>
              </w:rPr>
              <w:t xml:space="preserve"> </w:t>
            </w:r>
            <w:proofErr w:type="gramStart"/>
            <w:r w:rsidRPr="008621A3">
              <w:rPr>
                <w:rFonts w:asciiTheme="majorHAnsi" w:hAnsiTheme="majorHAnsi"/>
                <w:noProof w:val="0"/>
                <w:szCs w:val="24"/>
              </w:rPr>
              <w:t>d</w:t>
            </w:r>
            <w:r w:rsidR="005019FE">
              <w:rPr>
                <w:rFonts w:asciiTheme="majorHAnsi" w:hAnsiTheme="majorHAnsi"/>
                <w:noProof w:val="0"/>
                <w:szCs w:val="24"/>
              </w:rPr>
              <w:t>’</w:t>
            </w:r>
            <w:r w:rsidRPr="008621A3">
              <w:rPr>
                <w:rFonts w:asciiTheme="majorHAnsi" w:hAnsiTheme="majorHAnsi"/>
                <w:noProof w:val="0"/>
                <w:szCs w:val="24"/>
              </w:rPr>
              <w:t xml:space="preserve"> </w:t>
            </w:r>
            <w:proofErr w:type="spellStart"/>
            <w:r w:rsidRPr="008621A3">
              <w:rPr>
                <w:rFonts w:asciiTheme="majorHAnsi" w:hAnsiTheme="majorHAnsi"/>
                <w:noProof w:val="0"/>
                <w:szCs w:val="24"/>
              </w:rPr>
              <w:t>Uturoa</w:t>
            </w:r>
            <w:proofErr w:type="spellEnd"/>
            <w:proofErr w:type="gram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L’acquisition d’ouvrages océaniens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227 000 </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Rangiroa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participation au Heiva taure’a 2020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1 500 000 </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Collège de Afareaitu - Moorea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L’intervention de deux artistes relative à la participation des élèves au Heiva Taure’a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592 000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lastRenderedPageBreak/>
              <w:t xml:space="preserve">Lycée polyvalent </w:t>
            </w:r>
            <w:proofErr w:type="spellStart"/>
            <w:r w:rsidRPr="008621A3">
              <w:rPr>
                <w:rFonts w:asciiTheme="majorHAnsi" w:hAnsiTheme="majorHAnsi"/>
                <w:noProof w:val="0"/>
                <w:szCs w:val="24"/>
              </w:rPr>
              <w:t>Ihi</w:t>
            </w:r>
            <w:proofErr w:type="spellEnd"/>
            <w:r w:rsidRPr="008621A3">
              <w:rPr>
                <w:rFonts w:asciiTheme="majorHAnsi" w:hAnsiTheme="majorHAnsi"/>
                <w:noProof w:val="0"/>
                <w:szCs w:val="24"/>
              </w:rPr>
              <w:t xml:space="preserve">-tea no </w:t>
            </w:r>
            <w:proofErr w:type="spellStart"/>
            <w:r w:rsidRPr="008621A3">
              <w:rPr>
                <w:rFonts w:asciiTheme="majorHAnsi" w:hAnsiTheme="majorHAnsi"/>
                <w:noProof w:val="0"/>
                <w:szCs w:val="24"/>
              </w:rPr>
              <w:t>Vavau</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Les frais de fonctionnement du CETAD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2 400 000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Haamene</w:t>
            </w:r>
            <w:proofErr w:type="spellEnd"/>
            <w:r w:rsidRPr="008621A3">
              <w:rPr>
                <w:rFonts w:asciiTheme="majorHAnsi" w:hAnsiTheme="majorHAnsi"/>
                <w:noProof w:val="0"/>
                <w:szCs w:val="24"/>
              </w:rPr>
              <w:t xml:space="preserve"> – Tahaa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Les frais de déplacement des intervenants au forum contre la violence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115 620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Lycée d’</w:t>
            </w:r>
            <w:proofErr w:type="spellStart"/>
            <w:r w:rsidRPr="008621A3">
              <w:rPr>
                <w:rFonts w:asciiTheme="majorHAnsi" w:hAnsiTheme="majorHAnsi"/>
                <w:noProof w:val="0"/>
                <w:szCs w:val="24"/>
              </w:rPr>
              <w:t>Uturoa</w:t>
            </w:r>
            <w:proofErr w:type="spellEnd"/>
            <w:r w:rsidRPr="008621A3">
              <w:rPr>
                <w:rFonts w:asciiTheme="majorHAnsi" w:hAnsiTheme="majorHAnsi"/>
                <w:noProof w:val="0"/>
                <w:szCs w:val="24"/>
              </w:rPr>
              <w:t xml:space="preserve"> – Raiatea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rénovation des sanitaires du GOD de Maupiti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477 007</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Lycée professionnel de Faa’a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L’achat de fournitures destinées aux chambres du futur internat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965 589</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noProof w:val="0"/>
                <w:szCs w:val="24"/>
              </w:rPr>
            </w:pPr>
            <w:r w:rsidRPr="008621A3">
              <w:rPr>
                <w:rFonts w:asciiTheme="majorHAnsi" w:hAnsiTheme="majorHAnsi"/>
                <w:noProof w:val="0"/>
                <w:szCs w:val="24"/>
              </w:rPr>
              <w:t>Lycée professionnel d’</w:t>
            </w:r>
            <w:proofErr w:type="spellStart"/>
            <w:r w:rsidRPr="008621A3">
              <w:rPr>
                <w:rFonts w:asciiTheme="majorHAnsi" w:hAnsiTheme="majorHAnsi"/>
                <w:noProof w:val="0"/>
                <w:szCs w:val="24"/>
              </w:rPr>
              <w:t>Uturoa</w:t>
            </w:r>
            <w:proofErr w:type="spellEnd"/>
            <w:r w:rsidRPr="008621A3">
              <w:rPr>
                <w:rFonts w:asciiTheme="majorHAnsi" w:hAnsiTheme="majorHAnsi"/>
                <w:noProof w:val="0"/>
                <w:szCs w:val="24"/>
              </w:rPr>
              <w:t xml:space="preserve"> – Raiatea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L’achat d’équipements nécessaires à la formation CAP IFCA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438 156</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9560AA">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Collège d’</w:t>
            </w:r>
            <w:proofErr w:type="spellStart"/>
            <w:r w:rsidRPr="008621A3">
              <w:rPr>
                <w:rFonts w:asciiTheme="majorHAnsi" w:hAnsiTheme="majorHAnsi"/>
                <w:noProof w:val="0"/>
                <w:szCs w:val="24"/>
              </w:rPr>
              <w:t>Arue</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 renouvellement de 5 vidéoprojecteurs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314 950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9560AA">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Hitia’a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réparation de fuites d’eau</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417 329</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5019FE">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Collège d</w:t>
            </w:r>
            <w:r w:rsidR="005019FE">
              <w:rPr>
                <w:rFonts w:asciiTheme="majorHAnsi" w:hAnsiTheme="majorHAnsi"/>
                <w:noProof w:val="0"/>
                <w:szCs w:val="24"/>
              </w:rPr>
              <w:t>’</w:t>
            </w:r>
            <w:proofErr w:type="spellStart"/>
            <w:r w:rsidRPr="008621A3">
              <w:rPr>
                <w:rFonts w:asciiTheme="majorHAnsi" w:hAnsiTheme="majorHAnsi"/>
                <w:noProof w:val="0"/>
                <w:szCs w:val="24"/>
              </w:rPr>
              <w:t>Atuona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 renouvellement du fonds documentaire du centre de documentation et d'information (CDI)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525 349</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Taiohae</w:t>
            </w:r>
            <w:proofErr w:type="spellEnd"/>
            <w:r w:rsidRPr="008621A3">
              <w:rPr>
                <w:rFonts w:asciiTheme="majorHAnsi" w:hAnsiTheme="majorHAnsi"/>
                <w:noProof w:val="0"/>
                <w:szCs w:val="24"/>
              </w:rPr>
              <w:t xml:space="preserve"> - </w:t>
            </w:r>
            <w:proofErr w:type="spellStart"/>
            <w:r w:rsidRPr="008621A3">
              <w:rPr>
                <w:rFonts w:asciiTheme="majorHAnsi" w:hAnsiTheme="majorHAnsi"/>
                <w:noProof w:val="0"/>
                <w:szCs w:val="24"/>
              </w:rPr>
              <w:t>Nuku</w:t>
            </w:r>
            <w:proofErr w:type="spellEnd"/>
            <w:r w:rsidRPr="008621A3">
              <w:rPr>
                <w:rFonts w:asciiTheme="majorHAnsi" w:hAnsiTheme="majorHAnsi"/>
                <w:noProof w:val="0"/>
                <w:szCs w:val="24"/>
              </w:rPr>
              <w:t xml:space="preserve"> </w:t>
            </w:r>
            <w:proofErr w:type="spellStart"/>
            <w:r w:rsidRPr="008621A3">
              <w:rPr>
                <w:rFonts w:asciiTheme="majorHAnsi" w:hAnsiTheme="majorHAnsi"/>
                <w:noProof w:val="0"/>
                <w:szCs w:val="24"/>
              </w:rPr>
              <w:t>Hiva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prise en charge des frais de fonctionnement du centre d'éducation aux technologies appropriées au développement (CETAD)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2 210 000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Taiohae</w:t>
            </w:r>
            <w:proofErr w:type="spellEnd"/>
            <w:r w:rsidRPr="008621A3">
              <w:rPr>
                <w:rFonts w:asciiTheme="majorHAnsi" w:hAnsiTheme="majorHAnsi"/>
                <w:noProof w:val="0"/>
                <w:szCs w:val="24"/>
              </w:rPr>
              <w:t xml:space="preserve"> - </w:t>
            </w:r>
            <w:proofErr w:type="spellStart"/>
            <w:r w:rsidRPr="008621A3">
              <w:rPr>
                <w:rFonts w:asciiTheme="majorHAnsi" w:hAnsiTheme="majorHAnsi"/>
                <w:noProof w:val="0"/>
                <w:szCs w:val="24"/>
              </w:rPr>
              <w:t>Nuku</w:t>
            </w:r>
            <w:proofErr w:type="spellEnd"/>
            <w:r w:rsidRPr="008621A3">
              <w:rPr>
                <w:rFonts w:asciiTheme="majorHAnsi" w:hAnsiTheme="majorHAnsi"/>
                <w:noProof w:val="0"/>
                <w:szCs w:val="24"/>
              </w:rPr>
              <w:t xml:space="preserve"> </w:t>
            </w:r>
            <w:proofErr w:type="spellStart"/>
            <w:r w:rsidRPr="008621A3">
              <w:rPr>
                <w:rFonts w:asciiTheme="majorHAnsi" w:hAnsiTheme="majorHAnsi"/>
                <w:noProof w:val="0"/>
                <w:szCs w:val="24"/>
              </w:rPr>
              <w:t>Hiva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 surcoût des repas du service de restauration et d'hébergement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1 240 000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Taravao</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Les tests de résistance du bâtiment RAI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96 050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Hakahau</w:t>
            </w:r>
            <w:proofErr w:type="spellEnd"/>
            <w:r w:rsidRPr="008621A3">
              <w:rPr>
                <w:rFonts w:asciiTheme="majorHAnsi" w:hAnsiTheme="majorHAnsi"/>
                <w:noProof w:val="0"/>
                <w:szCs w:val="24"/>
              </w:rPr>
              <w:t xml:space="preserve"> - </w:t>
            </w:r>
            <w:proofErr w:type="spellStart"/>
            <w:r w:rsidRPr="008621A3">
              <w:rPr>
                <w:rFonts w:asciiTheme="majorHAnsi" w:hAnsiTheme="majorHAnsi"/>
                <w:noProof w:val="0"/>
                <w:szCs w:val="24"/>
              </w:rPr>
              <w:t>Ua</w:t>
            </w:r>
            <w:proofErr w:type="spellEnd"/>
            <w:r w:rsidRPr="008621A3">
              <w:rPr>
                <w:rFonts w:asciiTheme="majorHAnsi" w:hAnsiTheme="majorHAnsi"/>
                <w:noProof w:val="0"/>
                <w:szCs w:val="24"/>
              </w:rPr>
              <w:t xml:space="preserve"> Pou</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L'acquisition d'équipements des laboratoires de sciences du centre d'éducation aux technologies appropriées au développement (CETAD)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638 532</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Hakahau</w:t>
            </w:r>
            <w:proofErr w:type="spellEnd"/>
            <w:r w:rsidRPr="008621A3">
              <w:rPr>
                <w:rFonts w:asciiTheme="majorHAnsi" w:hAnsiTheme="majorHAnsi"/>
                <w:noProof w:val="0"/>
                <w:szCs w:val="24"/>
              </w:rPr>
              <w:t xml:space="preserve"> - </w:t>
            </w:r>
            <w:proofErr w:type="spellStart"/>
            <w:r w:rsidRPr="008621A3">
              <w:rPr>
                <w:rFonts w:asciiTheme="majorHAnsi" w:hAnsiTheme="majorHAnsi"/>
                <w:noProof w:val="0"/>
                <w:szCs w:val="24"/>
              </w:rPr>
              <w:t>Ua</w:t>
            </w:r>
            <w:proofErr w:type="spellEnd"/>
            <w:r w:rsidRPr="008621A3">
              <w:rPr>
                <w:rFonts w:asciiTheme="majorHAnsi" w:hAnsiTheme="majorHAnsi"/>
                <w:noProof w:val="0"/>
                <w:szCs w:val="24"/>
              </w:rPr>
              <w:t xml:space="preserve"> Pou</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L'acquisition de tables de travail pour la section « petite et moyenne hôtellerie » (PMH) du centre d'éducation aux technologies appropriées au développement (CETAD)</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233 292</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Hakahau</w:t>
            </w:r>
            <w:proofErr w:type="spellEnd"/>
            <w:r w:rsidRPr="008621A3">
              <w:rPr>
                <w:rFonts w:asciiTheme="majorHAnsi" w:hAnsiTheme="majorHAnsi"/>
                <w:noProof w:val="0"/>
                <w:szCs w:val="24"/>
              </w:rPr>
              <w:t xml:space="preserve"> - </w:t>
            </w:r>
            <w:proofErr w:type="spellStart"/>
            <w:r w:rsidRPr="008621A3">
              <w:rPr>
                <w:rFonts w:asciiTheme="majorHAnsi" w:hAnsiTheme="majorHAnsi"/>
                <w:noProof w:val="0"/>
                <w:szCs w:val="24"/>
              </w:rPr>
              <w:t>Ua</w:t>
            </w:r>
            <w:proofErr w:type="spellEnd"/>
            <w:r w:rsidRPr="008621A3">
              <w:rPr>
                <w:rFonts w:asciiTheme="majorHAnsi" w:hAnsiTheme="majorHAnsi"/>
                <w:noProof w:val="0"/>
                <w:szCs w:val="24"/>
              </w:rPr>
              <w:t xml:space="preserve"> Pou</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L'installation d'un climatiseur dans la réserve du laboratoire de physique-chimie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91 740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Collège de </w:t>
            </w:r>
            <w:proofErr w:type="spellStart"/>
            <w:r w:rsidRPr="008621A3">
              <w:rPr>
                <w:rFonts w:asciiTheme="majorHAnsi" w:hAnsiTheme="majorHAnsi"/>
                <w:noProof w:val="0"/>
                <w:szCs w:val="24"/>
              </w:rPr>
              <w:t>Hakahau</w:t>
            </w:r>
            <w:proofErr w:type="spellEnd"/>
            <w:r w:rsidRPr="008621A3">
              <w:rPr>
                <w:rFonts w:asciiTheme="majorHAnsi" w:hAnsiTheme="majorHAnsi"/>
                <w:noProof w:val="0"/>
                <w:szCs w:val="24"/>
              </w:rPr>
              <w:t xml:space="preserve"> - </w:t>
            </w:r>
            <w:proofErr w:type="spellStart"/>
            <w:r w:rsidRPr="008621A3">
              <w:rPr>
                <w:rFonts w:asciiTheme="majorHAnsi" w:hAnsiTheme="majorHAnsi"/>
                <w:noProof w:val="0"/>
                <w:szCs w:val="24"/>
              </w:rPr>
              <w:t>Ua</w:t>
            </w:r>
            <w:proofErr w:type="spellEnd"/>
            <w:r w:rsidRPr="008621A3">
              <w:rPr>
                <w:rFonts w:asciiTheme="majorHAnsi" w:hAnsiTheme="majorHAnsi"/>
                <w:noProof w:val="0"/>
                <w:szCs w:val="24"/>
              </w:rPr>
              <w:t xml:space="preserve"> Pou</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L'installation d'un climatiseur dans le local de l'infirmerie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91 740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 déplacement à Paris (France) dans le cadre du projet « repas au Sénat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1 011 010</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participation à la cérémonie de remise de médailles au meilleur apprenti de France 2019 dans la spécialité cuisine froide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758 423</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Lycée hôtelier de Tahiti</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La participation au concours « trophée BABETTE 2020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657 773</w:t>
            </w:r>
          </w:p>
        </w:tc>
      </w:tr>
      <w:tr w:rsidR="008621A3" w:rsidRPr="008621A3" w:rsidTr="008621A3">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pPr>
              <w:pStyle w:val="-LettreTexteGEDA"/>
              <w:spacing w:before="0"/>
              <w:ind w:firstLine="0"/>
              <w:jc w:val="left"/>
              <w:rPr>
                <w:rFonts w:asciiTheme="majorHAnsi" w:hAnsiTheme="majorHAnsi"/>
                <w:noProof w:val="0"/>
                <w:szCs w:val="24"/>
              </w:rPr>
            </w:pPr>
            <w:r w:rsidRPr="008621A3">
              <w:rPr>
                <w:rFonts w:asciiTheme="majorHAnsi" w:hAnsiTheme="majorHAnsi"/>
                <w:noProof w:val="0"/>
                <w:szCs w:val="24"/>
              </w:rPr>
              <w:t xml:space="preserve">Lycée polyvalent de </w:t>
            </w:r>
            <w:proofErr w:type="spellStart"/>
            <w:r w:rsidRPr="008621A3">
              <w:rPr>
                <w:rFonts w:asciiTheme="majorHAnsi" w:hAnsiTheme="majorHAnsi"/>
                <w:noProof w:val="0"/>
                <w:szCs w:val="24"/>
              </w:rPr>
              <w:t>Taravao</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Le transport lié aux activités d'éducation physique et sportive (EPS)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621A3" w:rsidRPr="008621A3" w:rsidRDefault="008621A3" w:rsidP="008621A3">
            <w:pPr>
              <w:pStyle w:val="-LettreTexteGEDA"/>
              <w:spacing w:before="0"/>
              <w:ind w:firstLine="0"/>
              <w:rPr>
                <w:rFonts w:asciiTheme="majorHAnsi" w:hAnsiTheme="majorHAnsi"/>
                <w:szCs w:val="24"/>
              </w:rPr>
            </w:pPr>
            <w:r w:rsidRPr="008621A3">
              <w:rPr>
                <w:rFonts w:asciiTheme="majorHAnsi" w:hAnsiTheme="majorHAnsi"/>
                <w:szCs w:val="24"/>
              </w:rPr>
              <w:t>2 303 000</w:t>
            </w:r>
          </w:p>
        </w:tc>
      </w:tr>
      <w:tr w:rsidR="00CA0B67" w:rsidTr="00CA0B67">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noProof w:val="0"/>
                <w:szCs w:val="24"/>
              </w:rPr>
            </w:pPr>
            <w:r w:rsidRPr="00CA0B67">
              <w:rPr>
                <w:rFonts w:asciiTheme="majorHAnsi" w:hAnsiTheme="majorHAnsi"/>
                <w:noProof w:val="0"/>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L'acquisition de vidéoprojecteurs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414 000</w:t>
            </w:r>
          </w:p>
        </w:tc>
      </w:tr>
      <w:tr w:rsidR="00CA0B67" w:rsidTr="00CA0B67">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noProof w:val="0"/>
                <w:szCs w:val="24"/>
              </w:rPr>
            </w:pPr>
            <w:r w:rsidRPr="00CA0B67">
              <w:rPr>
                <w:rFonts w:asciiTheme="majorHAnsi" w:hAnsiTheme="majorHAnsi"/>
                <w:noProof w:val="0"/>
                <w:szCs w:val="24"/>
              </w:rPr>
              <w:t>Collège de Papara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L'élaboration de plans d'évacuation incendie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991 453</w:t>
            </w:r>
          </w:p>
        </w:tc>
      </w:tr>
      <w:tr w:rsidR="00CA0B67" w:rsidTr="00CA0B67">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noProof w:val="0"/>
                <w:szCs w:val="24"/>
              </w:rPr>
            </w:pPr>
            <w:r w:rsidRPr="00CA0B67">
              <w:rPr>
                <w:rFonts w:asciiTheme="majorHAnsi" w:hAnsiTheme="majorHAnsi"/>
                <w:noProof w:val="0"/>
                <w:szCs w:val="24"/>
              </w:rPr>
              <w:t xml:space="preserve">Lycée </w:t>
            </w:r>
            <w:proofErr w:type="spellStart"/>
            <w:r w:rsidRPr="00CA0B67">
              <w:rPr>
                <w:rFonts w:asciiTheme="majorHAnsi" w:hAnsiTheme="majorHAnsi"/>
                <w:noProof w:val="0"/>
                <w:szCs w:val="24"/>
              </w:rPr>
              <w:t>Tuianu</w:t>
            </w:r>
            <w:proofErr w:type="spellEnd"/>
            <w:r w:rsidRPr="00CA0B67">
              <w:rPr>
                <w:rFonts w:asciiTheme="majorHAnsi" w:hAnsiTheme="majorHAnsi"/>
                <w:noProof w:val="0"/>
                <w:szCs w:val="24"/>
              </w:rPr>
              <w:t xml:space="preserve"> Le </w:t>
            </w:r>
            <w:proofErr w:type="spellStart"/>
            <w:r w:rsidRPr="00CA0B67">
              <w:rPr>
                <w:rFonts w:asciiTheme="majorHAnsi" w:hAnsiTheme="majorHAnsi"/>
                <w:noProof w:val="0"/>
                <w:szCs w:val="24"/>
              </w:rPr>
              <w:t>Gayic</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La rénovation de l'armoire électrique de la station d'épuration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900 000</w:t>
            </w:r>
          </w:p>
        </w:tc>
      </w:tr>
      <w:tr w:rsidR="00CA0B67" w:rsidTr="00CA0B67">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noProof w:val="0"/>
                <w:szCs w:val="24"/>
              </w:rPr>
            </w:pPr>
            <w:r w:rsidRPr="00CA0B67">
              <w:rPr>
                <w:rFonts w:asciiTheme="majorHAnsi" w:hAnsiTheme="majorHAnsi"/>
                <w:noProof w:val="0"/>
                <w:szCs w:val="24"/>
              </w:rPr>
              <w:t xml:space="preserve">Lycée </w:t>
            </w:r>
            <w:proofErr w:type="spellStart"/>
            <w:r w:rsidRPr="00CA0B67">
              <w:rPr>
                <w:rFonts w:asciiTheme="majorHAnsi" w:hAnsiTheme="majorHAnsi"/>
                <w:noProof w:val="0"/>
                <w:szCs w:val="24"/>
              </w:rPr>
              <w:t>Tuianu</w:t>
            </w:r>
            <w:proofErr w:type="spellEnd"/>
            <w:r w:rsidRPr="00CA0B67">
              <w:rPr>
                <w:rFonts w:asciiTheme="majorHAnsi" w:hAnsiTheme="majorHAnsi"/>
                <w:noProof w:val="0"/>
                <w:szCs w:val="24"/>
              </w:rPr>
              <w:t xml:space="preserve"> Le </w:t>
            </w:r>
            <w:proofErr w:type="spellStart"/>
            <w:r w:rsidRPr="00CA0B67">
              <w:rPr>
                <w:rFonts w:asciiTheme="majorHAnsi" w:hAnsiTheme="majorHAnsi"/>
                <w:noProof w:val="0"/>
                <w:szCs w:val="24"/>
              </w:rPr>
              <w:t>Gayic</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La réparation du truck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373 997</w:t>
            </w:r>
          </w:p>
        </w:tc>
      </w:tr>
      <w:tr w:rsidR="00CA0B67" w:rsidTr="00CA0B67">
        <w:trPr>
          <w:trHeight w:val="454"/>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noProof w:val="0"/>
                <w:szCs w:val="24"/>
              </w:rPr>
            </w:pPr>
            <w:r w:rsidRPr="00CA0B67">
              <w:rPr>
                <w:rFonts w:asciiTheme="majorHAnsi" w:hAnsiTheme="majorHAnsi"/>
                <w:noProof w:val="0"/>
                <w:szCs w:val="24"/>
              </w:rPr>
              <w:lastRenderedPageBreak/>
              <w:t xml:space="preserve">Lycée </w:t>
            </w:r>
            <w:proofErr w:type="spellStart"/>
            <w:r w:rsidRPr="00CA0B67">
              <w:rPr>
                <w:rFonts w:asciiTheme="majorHAnsi" w:hAnsiTheme="majorHAnsi"/>
                <w:noProof w:val="0"/>
                <w:szCs w:val="24"/>
              </w:rPr>
              <w:t>Tuianu</w:t>
            </w:r>
            <w:proofErr w:type="spellEnd"/>
            <w:r w:rsidRPr="00CA0B67">
              <w:rPr>
                <w:rFonts w:asciiTheme="majorHAnsi" w:hAnsiTheme="majorHAnsi"/>
                <w:noProof w:val="0"/>
                <w:szCs w:val="24"/>
              </w:rPr>
              <w:t xml:space="preserve"> Le </w:t>
            </w:r>
            <w:proofErr w:type="spellStart"/>
            <w:r w:rsidRPr="00CA0B67">
              <w:rPr>
                <w:rFonts w:asciiTheme="majorHAnsi" w:hAnsiTheme="majorHAnsi"/>
                <w:noProof w:val="0"/>
                <w:szCs w:val="24"/>
              </w:rPr>
              <w:t>Gayic</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L'acquisition de sèche-linge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A0B67" w:rsidRPr="00CA0B67" w:rsidRDefault="00CA0B67" w:rsidP="00CA0B67">
            <w:pPr>
              <w:pStyle w:val="-LettreTexteGEDA"/>
              <w:spacing w:before="0"/>
              <w:ind w:firstLine="0"/>
              <w:rPr>
                <w:rFonts w:asciiTheme="majorHAnsi" w:hAnsiTheme="majorHAnsi"/>
                <w:szCs w:val="24"/>
              </w:rPr>
            </w:pPr>
            <w:r w:rsidRPr="00CA0B67">
              <w:rPr>
                <w:rFonts w:asciiTheme="majorHAnsi" w:hAnsiTheme="majorHAnsi"/>
                <w:szCs w:val="24"/>
              </w:rPr>
              <w:t>215 700</w:t>
            </w:r>
          </w:p>
        </w:tc>
      </w:tr>
      <w:tr w:rsidR="00E879D4" w:rsidTr="00CA0B67">
        <w:trPr>
          <w:trHeight w:val="454"/>
        </w:trPr>
        <w:tc>
          <w:tcPr>
            <w:tcW w:w="2836" w:type="dxa"/>
            <w:tcBorders>
              <w:top w:val="single" w:sz="4" w:space="0" w:color="000000"/>
              <w:left w:val="single" w:sz="4" w:space="0" w:color="000000"/>
              <w:bottom w:val="single" w:sz="4" w:space="0" w:color="000000"/>
              <w:right w:val="single" w:sz="4" w:space="0" w:color="000000"/>
            </w:tcBorders>
            <w:vAlign w:val="center"/>
          </w:tcPr>
          <w:p w:rsidR="00E879D4" w:rsidRPr="00E879D4" w:rsidRDefault="00E879D4" w:rsidP="00CA0B67">
            <w:pPr>
              <w:pStyle w:val="-LettreTexteGEDA"/>
              <w:spacing w:before="0"/>
              <w:ind w:firstLine="0"/>
              <w:rPr>
                <w:rFonts w:asciiTheme="majorHAnsi" w:hAnsiTheme="majorHAnsi"/>
                <w:noProof w:val="0"/>
                <w:szCs w:val="24"/>
              </w:rPr>
            </w:pPr>
            <w:r w:rsidRPr="00E879D4">
              <w:rPr>
                <w:rFonts w:asciiTheme="majorHAnsi" w:hAnsiTheme="majorHAnsi"/>
                <w:noProof w:val="0"/>
                <w:szCs w:val="24"/>
              </w:rPr>
              <w:t xml:space="preserve">Lycée Polyvalent de </w:t>
            </w:r>
            <w:proofErr w:type="spellStart"/>
            <w:r w:rsidRPr="00E879D4">
              <w:rPr>
                <w:rFonts w:asciiTheme="majorHAnsi" w:hAnsiTheme="majorHAnsi"/>
                <w:noProof w:val="0"/>
                <w:szCs w:val="24"/>
              </w:rPr>
              <w:t>Taravao</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E879D4" w:rsidRPr="00CA0B67" w:rsidRDefault="00E879D4" w:rsidP="00CA0B67">
            <w:pPr>
              <w:pStyle w:val="-LettreTexteGEDA"/>
              <w:spacing w:before="0"/>
              <w:ind w:firstLine="0"/>
              <w:rPr>
                <w:rFonts w:asciiTheme="majorHAnsi" w:hAnsiTheme="majorHAnsi"/>
                <w:szCs w:val="24"/>
              </w:rPr>
            </w:pPr>
            <w:r w:rsidRPr="00CA0B67">
              <w:rPr>
                <w:rFonts w:asciiTheme="majorHAnsi" w:hAnsiTheme="majorHAnsi"/>
              </w:rPr>
              <w:t>les travaux d'étanchéité du bâtiment A</w:t>
            </w:r>
          </w:p>
        </w:tc>
        <w:tc>
          <w:tcPr>
            <w:tcW w:w="1560" w:type="dxa"/>
            <w:tcBorders>
              <w:top w:val="single" w:sz="4" w:space="0" w:color="000000"/>
              <w:left w:val="single" w:sz="4" w:space="0" w:color="000000"/>
              <w:bottom w:val="single" w:sz="4" w:space="0" w:color="000000"/>
              <w:right w:val="single" w:sz="4" w:space="0" w:color="000000"/>
            </w:tcBorders>
            <w:vAlign w:val="center"/>
          </w:tcPr>
          <w:p w:rsidR="00E879D4" w:rsidRPr="00CA0B67" w:rsidRDefault="00E879D4" w:rsidP="00CA0B67">
            <w:pPr>
              <w:pStyle w:val="-LettreTexteGEDA"/>
              <w:spacing w:before="0"/>
              <w:ind w:firstLine="0"/>
              <w:rPr>
                <w:rFonts w:asciiTheme="majorHAnsi" w:hAnsiTheme="majorHAnsi"/>
                <w:szCs w:val="24"/>
              </w:rPr>
            </w:pPr>
            <w:r w:rsidRPr="00CA0B67">
              <w:rPr>
                <w:rFonts w:asciiTheme="majorHAnsi" w:hAnsiTheme="majorHAnsi"/>
              </w:rPr>
              <w:t>921</w:t>
            </w:r>
            <w:r>
              <w:rPr>
                <w:rFonts w:asciiTheme="majorHAnsi" w:hAnsiTheme="majorHAnsi"/>
              </w:rPr>
              <w:t> </w:t>
            </w:r>
            <w:r w:rsidRPr="00CA0B67">
              <w:rPr>
                <w:rFonts w:asciiTheme="majorHAnsi" w:hAnsiTheme="majorHAnsi"/>
              </w:rPr>
              <w:t>649 </w:t>
            </w:r>
          </w:p>
        </w:tc>
      </w:tr>
    </w:tbl>
    <w:p w:rsidR="005019FE" w:rsidRDefault="005019FE" w:rsidP="008621A3">
      <w:pPr>
        <w:pStyle w:val="-LettreTexteGEDA"/>
        <w:ind w:firstLine="0"/>
        <w:rPr>
          <w:rFonts w:asciiTheme="majorHAnsi" w:hAnsiTheme="majorHAnsi"/>
          <w:szCs w:val="24"/>
        </w:rPr>
      </w:pPr>
    </w:p>
    <w:p w:rsidR="008621A3" w:rsidRPr="005019FE" w:rsidRDefault="008621A3" w:rsidP="008621A3">
      <w:pPr>
        <w:pStyle w:val="-LettreTexteGEDA"/>
        <w:ind w:firstLine="0"/>
        <w:rPr>
          <w:rFonts w:ascii="Cambria" w:hAnsi="Cambria"/>
        </w:rPr>
      </w:pPr>
      <w:r w:rsidRPr="005019FE">
        <w:rPr>
          <w:rFonts w:ascii="Cambria" w:hAnsi="Cambria"/>
          <w:noProof w:val="0"/>
          <w:szCs w:val="24"/>
        </w:rPr>
        <w:t xml:space="preserve">Par ailleurs, le Conseil des ministres a approuvé d’autres subventions en faveur d’établissements publics d’enseignement de la Polynésie française pour financer </w:t>
      </w:r>
      <w:r w:rsidRPr="005019FE">
        <w:rPr>
          <w:rFonts w:ascii="Cambria" w:hAnsi="Cambria"/>
        </w:rPr>
        <w:t>les actions menées au titre du fonds social collégien et lycéen (FSCL)</w:t>
      </w:r>
      <w:r w:rsidR="005019FE" w:rsidRPr="005019FE">
        <w:rPr>
          <w:rFonts w:ascii="Cambria" w:hAnsi="Cambria"/>
        </w:rPr>
        <w:t> :</w:t>
      </w:r>
    </w:p>
    <w:p w:rsidR="00DD6581" w:rsidRPr="005019FE" w:rsidRDefault="00DD6581" w:rsidP="008621A3">
      <w:pPr>
        <w:pStyle w:val="-LettreTexteGEDA"/>
        <w:ind w:firstLine="0"/>
        <w:rPr>
          <w:rFonts w:ascii="Cambria" w:hAnsi="Cambria"/>
          <w:noProof w:val="0"/>
          <w:szCs w:val="24"/>
        </w:rPr>
      </w:pPr>
    </w:p>
    <w:p w:rsidR="008621A3" w:rsidRPr="005019FE" w:rsidRDefault="008621A3" w:rsidP="008621A3">
      <w:pPr>
        <w:pStyle w:val="-LettreTexteGEDA"/>
        <w:ind w:firstLine="0"/>
        <w:rPr>
          <w:rFonts w:ascii="Cambria" w:hAnsi="Cambria"/>
          <w:noProof w:val="0"/>
          <w:szCs w:val="24"/>
        </w:rPr>
      </w:pPr>
    </w:p>
    <w:tbl>
      <w:tblPr>
        <w:tblW w:w="5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9"/>
        <w:gridCol w:w="1519"/>
      </w:tblGrid>
      <w:tr w:rsidR="008621A3" w:rsidRPr="005019FE" w:rsidTr="009560AA">
        <w:trPr>
          <w:jc w:val="center"/>
        </w:trPr>
        <w:tc>
          <w:tcPr>
            <w:tcW w:w="4379" w:type="dxa"/>
            <w:vAlign w:val="center"/>
          </w:tcPr>
          <w:p w:rsidR="008621A3" w:rsidRPr="005019FE" w:rsidRDefault="008621A3" w:rsidP="009560AA">
            <w:pPr>
              <w:pStyle w:val="-LettreTexteGEDA"/>
              <w:spacing w:before="0"/>
              <w:ind w:firstLine="0"/>
              <w:jc w:val="center"/>
              <w:rPr>
                <w:rFonts w:ascii="Cambria" w:hAnsi="Cambria"/>
                <w:b/>
                <w:noProof w:val="0"/>
                <w:szCs w:val="24"/>
              </w:rPr>
            </w:pPr>
            <w:r w:rsidRPr="005019FE">
              <w:rPr>
                <w:rFonts w:ascii="Cambria" w:hAnsi="Cambria"/>
                <w:b/>
                <w:noProof w:val="0"/>
                <w:szCs w:val="24"/>
              </w:rPr>
              <w:t>Bénéficiaire</w:t>
            </w:r>
          </w:p>
        </w:tc>
        <w:tc>
          <w:tcPr>
            <w:tcW w:w="1519" w:type="dxa"/>
            <w:vAlign w:val="center"/>
          </w:tcPr>
          <w:p w:rsidR="008621A3" w:rsidRPr="005019FE" w:rsidRDefault="008621A3" w:rsidP="009560AA">
            <w:pPr>
              <w:pStyle w:val="-LettreTexteGEDA"/>
              <w:spacing w:before="0"/>
              <w:ind w:firstLine="0"/>
              <w:jc w:val="center"/>
              <w:rPr>
                <w:rFonts w:ascii="Cambria" w:hAnsi="Cambria"/>
                <w:noProof w:val="0"/>
                <w:szCs w:val="24"/>
              </w:rPr>
            </w:pPr>
            <w:r w:rsidRPr="005019FE">
              <w:rPr>
                <w:rFonts w:ascii="Cambria" w:hAnsi="Cambria"/>
                <w:b/>
                <w:noProof w:val="0"/>
                <w:szCs w:val="24"/>
              </w:rPr>
              <w:t>Montant en</w:t>
            </w:r>
          </w:p>
          <w:p w:rsidR="008621A3" w:rsidRPr="005019FE" w:rsidRDefault="005019FE" w:rsidP="009560AA">
            <w:pPr>
              <w:pStyle w:val="-LettreTexteGEDA"/>
              <w:spacing w:before="0"/>
              <w:ind w:firstLine="0"/>
              <w:jc w:val="center"/>
              <w:rPr>
                <w:rFonts w:ascii="Cambria" w:hAnsi="Cambria"/>
                <w:b/>
                <w:noProof w:val="0"/>
                <w:szCs w:val="24"/>
              </w:rPr>
            </w:pPr>
            <w:proofErr w:type="spellStart"/>
            <w:r w:rsidRPr="005019FE">
              <w:rPr>
                <w:rFonts w:ascii="Cambria" w:hAnsi="Cambria"/>
                <w:b/>
                <w:noProof w:val="0"/>
                <w:szCs w:val="24"/>
              </w:rPr>
              <w:t>Fcfp</w:t>
            </w:r>
            <w:proofErr w:type="spellEnd"/>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Afareaitu - Moorea</w:t>
            </w:r>
          </w:p>
        </w:tc>
        <w:tc>
          <w:tcPr>
            <w:tcW w:w="1519" w:type="dxa"/>
            <w:vAlign w:val="center"/>
          </w:tcPr>
          <w:p w:rsidR="008621A3" w:rsidRPr="005019FE" w:rsidRDefault="008621A3" w:rsidP="009560AA">
            <w:pPr>
              <w:pStyle w:val="-LettreTexteGEDA"/>
              <w:spacing w:before="0"/>
              <w:ind w:firstLine="0"/>
              <w:jc w:val="right"/>
              <w:rPr>
                <w:rFonts w:ascii="Cambria" w:hAnsi="Cambria"/>
                <w:noProof w:val="0"/>
                <w:szCs w:val="24"/>
              </w:rPr>
            </w:pPr>
            <w:r w:rsidRPr="005019FE">
              <w:rPr>
                <w:rFonts w:ascii="Cambria" w:hAnsi="Cambria"/>
                <w:szCs w:val="24"/>
              </w:rPr>
              <w:t>1 356 700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d’Arue</w:t>
            </w:r>
          </w:p>
        </w:tc>
        <w:tc>
          <w:tcPr>
            <w:tcW w:w="1519" w:type="dxa"/>
            <w:vAlign w:val="center"/>
          </w:tcPr>
          <w:p w:rsidR="008621A3" w:rsidRPr="005019FE" w:rsidRDefault="008621A3" w:rsidP="009560AA">
            <w:pPr>
              <w:pStyle w:val="-LettreTexteGEDA"/>
              <w:spacing w:before="0"/>
              <w:ind w:firstLine="0"/>
              <w:jc w:val="right"/>
              <w:rPr>
                <w:rFonts w:ascii="Cambria" w:hAnsi="Cambria"/>
                <w:noProof w:val="0"/>
                <w:szCs w:val="24"/>
              </w:rPr>
            </w:pPr>
            <w:r w:rsidRPr="005019FE">
              <w:rPr>
                <w:rFonts w:ascii="Cambria" w:hAnsi="Cambria"/>
                <w:szCs w:val="24"/>
              </w:rPr>
              <w:t>1 080 870</w:t>
            </w:r>
          </w:p>
        </w:tc>
      </w:tr>
      <w:tr w:rsidR="008621A3" w:rsidRPr="005019FE" w:rsidTr="009560AA">
        <w:trPr>
          <w:trHeight w:val="454"/>
          <w:jc w:val="center"/>
        </w:trPr>
        <w:tc>
          <w:tcPr>
            <w:tcW w:w="4379" w:type="dxa"/>
            <w:vAlign w:val="center"/>
          </w:tcPr>
          <w:p w:rsidR="008621A3" w:rsidRPr="005019FE" w:rsidRDefault="005019FE" w:rsidP="009560AA">
            <w:pPr>
              <w:pStyle w:val="-LettreTexteGEDA"/>
              <w:spacing w:before="0"/>
              <w:ind w:firstLine="0"/>
              <w:jc w:val="left"/>
              <w:rPr>
                <w:rFonts w:ascii="Cambria" w:hAnsi="Cambria"/>
                <w:szCs w:val="24"/>
              </w:rPr>
            </w:pPr>
            <w:r w:rsidRPr="005019FE">
              <w:rPr>
                <w:rFonts w:ascii="Cambria" w:hAnsi="Cambria"/>
                <w:szCs w:val="24"/>
              </w:rPr>
              <w:t>Collège d’</w:t>
            </w:r>
            <w:r w:rsidR="008621A3" w:rsidRPr="005019FE">
              <w:rPr>
                <w:rFonts w:ascii="Cambria" w:hAnsi="Cambria"/>
                <w:szCs w:val="24"/>
              </w:rPr>
              <w:t>Atuona</w:t>
            </w:r>
          </w:p>
        </w:tc>
        <w:tc>
          <w:tcPr>
            <w:tcW w:w="1519" w:type="dxa"/>
            <w:vAlign w:val="center"/>
          </w:tcPr>
          <w:p w:rsidR="008621A3" w:rsidRPr="005019FE" w:rsidRDefault="008621A3" w:rsidP="009560AA">
            <w:pPr>
              <w:pStyle w:val="-LettreTexteGEDA"/>
              <w:spacing w:before="0"/>
              <w:ind w:firstLine="0"/>
              <w:jc w:val="right"/>
              <w:rPr>
                <w:rFonts w:ascii="Cambria" w:hAnsi="Cambria"/>
                <w:noProof w:val="0"/>
                <w:szCs w:val="24"/>
              </w:rPr>
            </w:pPr>
            <w:r w:rsidRPr="005019FE">
              <w:rPr>
                <w:rFonts w:ascii="Cambria" w:hAnsi="Cambria"/>
                <w:szCs w:val="24"/>
              </w:rPr>
              <w:t>2 489 000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Faaroa</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1 456 500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Hao</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1 997 900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Henri-Hiro</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1 951 500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Hitia’a</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881 000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Mahina</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1 563 600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Makemo</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1 009 400</w:t>
            </w:r>
          </w:p>
        </w:tc>
      </w:tr>
      <w:tr w:rsidR="008621A3" w:rsidRPr="005019FE" w:rsidTr="009560AA">
        <w:trPr>
          <w:trHeight w:val="454"/>
          <w:jc w:val="center"/>
        </w:trPr>
        <w:tc>
          <w:tcPr>
            <w:tcW w:w="4379" w:type="dxa"/>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Mataura - Tubuai</w:t>
            </w:r>
          </w:p>
        </w:tc>
        <w:tc>
          <w:tcPr>
            <w:tcW w:w="1519" w:type="dxa"/>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1 196 000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Paopao - Moorea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1 828 000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Punaauia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2 233 500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Rangiroa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 xml:space="preserve">1 220 800 </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Moerai - Rurutu</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606 800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du Taaone- Pirae</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2 739 400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Haamene- Tahaa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1 019 200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Taiohae - Nuku Hiva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1 048 100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de Taravao</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571 000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Teriitua A Teriierooiterai de Paea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1 043 700</w:t>
            </w:r>
          </w:p>
        </w:tc>
      </w:tr>
      <w:tr w:rsidR="008621A3" w:rsidRPr="005019FE" w:rsidTr="008621A3">
        <w:trPr>
          <w:trHeight w:val="454"/>
          <w:jc w:val="center"/>
        </w:trPr>
        <w:tc>
          <w:tcPr>
            <w:tcW w:w="437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left"/>
              <w:rPr>
                <w:rFonts w:ascii="Cambria" w:hAnsi="Cambria"/>
                <w:szCs w:val="24"/>
              </w:rPr>
            </w:pPr>
            <w:r w:rsidRPr="005019FE">
              <w:rPr>
                <w:rFonts w:ascii="Cambria" w:hAnsi="Cambria"/>
                <w:szCs w:val="24"/>
              </w:rPr>
              <w:t>Collège Tinomana Ebb de Teva I Uta</w:t>
            </w:r>
          </w:p>
        </w:tc>
        <w:tc>
          <w:tcPr>
            <w:tcW w:w="1519" w:type="dxa"/>
            <w:tcBorders>
              <w:top w:val="single" w:sz="4" w:space="0" w:color="000000"/>
              <w:left w:val="single" w:sz="4" w:space="0" w:color="000000"/>
              <w:bottom w:val="single" w:sz="4" w:space="0" w:color="000000"/>
              <w:right w:val="single" w:sz="4" w:space="0" w:color="000000"/>
            </w:tcBorders>
            <w:vAlign w:val="center"/>
          </w:tcPr>
          <w:p w:rsidR="008621A3" w:rsidRPr="005019FE" w:rsidRDefault="008621A3" w:rsidP="009560AA">
            <w:pPr>
              <w:pStyle w:val="-LettreTexteGEDA"/>
              <w:spacing w:before="0"/>
              <w:ind w:firstLine="0"/>
              <w:jc w:val="right"/>
              <w:rPr>
                <w:rFonts w:ascii="Cambria" w:hAnsi="Cambria"/>
                <w:szCs w:val="24"/>
              </w:rPr>
            </w:pPr>
            <w:r w:rsidRPr="005019FE">
              <w:rPr>
                <w:rFonts w:ascii="Cambria" w:hAnsi="Cambria"/>
                <w:szCs w:val="24"/>
              </w:rPr>
              <w:t>2 852 300</w:t>
            </w:r>
          </w:p>
        </w:tc>
      </w:tr>
      <w:tr w:rsidR="00CA0B67" w:rsidRPr="005019FE" w:rsidTr="009560AA">
        <w:trPr>
          <w:trHeight w:val="454"/>
          <w:jc w:val="center"/>
        </w:trPr>
        <w:tc>
          <w:tcPr>
            <w:tcW w:w="4379" w:type="dxa"/>
            <w:vAlign w:val="center"/>
          </w:tcPr>
          <w:p w:rsidR="00CA0B67" w:rsidRPr="005019FE" w:rsidRDefault="00CA0B67" w:rsidP="009560AA">
            <w:pPr>
              <w:pStyle w:val="-LettreTexteGEDA"/>
              <w:spacing w:before="0"/>
              <w:ind w:firstLine="0"/>
              <w:jc w:val="left"/>
              <w:rPr>
                <w:rFonts w:ascii="Cambria" w:hAnsi="Cambria"/>
                <w:szCs w:val="24"/>
              </w:rPr>
            </w:pPr>
            <w:r w:rsidRPr="005019FE">
              <w:rPr>
                <w:rFonts w:ascii="Cambria" w:hAnsi="Cambria"/>
                <w:szCs w:val="24"/>
              </w:rPr>
              <w:t>Collège de Tipaerui</w:t>
            </w:r>
          </w:p>
        </w:tc>
        <w:tc>
          <w:tcPr>
            <w:tcW w:w="1519" w:type="dxa"/>
            <w:vAlign w:val="center"/>
          </w:tcPr>
          <w:p w:rsidR="00CA0B67" w:rsidRPr="005019FE" w:rsidRDefault="00CA0B67" w:rsidP="009560AA">
            <w:pPr>
              <w:pStyle w:val="-LettreTexteGEDA"/>
              <w:spacing w:before="0"/>
              <w:ind w:firstLine="0"/>
              <w:jc w:val="right"/>
              <w:rPr>
                <w:rFonts w:ascii="Cambria" w:hAnsi="Cambria"/>
                <w:noProof w:val="0"/>
                <w:szCs w:val="24"/>
              </w:rPr>
            </w:pPr>
            <w:r w:rsidRPr="005019FE">
              <w:rPr>
                <w:rFonts w:ascii="Cambria" w:hAnsi="Cambria"/>
                <w:szCs w:val="24"/>
              </w:rPr>
              <w:t>1 787 100</w:t>
            </w:r>
          </w:p>
        </w:tc>
      </w:tr>
      <w:tr w:rsidR="00CA0B67" w:rsidRPr="005019FE" w:rsidTr="009560AA">
        <w:trPr>
          <w:trHeight w:val="454"/>
          <w:jc w:val="center"/>
        </w:trPr>
        <w:tc>
          <w:tcPr>
            <w:tcW w:w="4379" w:type="dxa"/>
            <w:vAlign w:val="center"/>
          </w:tcPr>
          <w:p w:rsidR="00CA0B67" w:rsidRPr="005019FE" w:rsidRDefault="00CA0B67" w:rsidP="009560AA">
            <w:pPr>
              <w:pStyle w:val="-LettreTexteGEDA"/>
              <w:spacing w:before="0"/>
              <w:ind w:firstLine="0"/>
              <w:jc w:val="left"/>
              <w:rPr>
                <w:rFonts w:ascii="Cambria" w:hAnsi="Cambria"/>
                <w:szCs w:val="24"/>
              </w:rPr>
            </w:pPr>
            <w:r w:rsidRPr="005019FE">
              <w:rPr>
                <w:rFonts w:ascii="Cambria" w:hAnsi="Cambria"/>
                <w:szCs w:val="24"/>
              </w:rPr>
              <w:lastRenderedPageBreak/>
              <w:t>Lycée polyvalent Ihi-tea no Vavau</w:t>
            </w:r>
          </w:p>
        </w:tc>
        <w:tc>
          <w:tcPr>
            <w:tcW w:w="1519" w:type="dxa"/>
            <w:vAlign w:val="center"/>
          </w:tcPr>
          <w:p w:rsidR="00CA0B67" w:rsidRPr="005019FE" w:rsidRDefault="00CA0B67" w:rsidP="009560AA">
            <w:pPr>
              <w:pStyle w:val="-LettreTexteGEDA"/>
              <w:spacing w:before="0"/>
              <w:ind w:firstLine="0"/>
              <w:jc w:val="right"/>
              <w:rPr>
                <w:rFonts w:ascii="Cambria" w:hAnsi="Cambria"/>
                <w:noProof w:val="0"/>
                <w:szCs w:val="24"/>
              </w:rPr>
            </w:pPr>
            <w:r w:rsidRPr="005019FE">
              <w:rPr>
                <w:rFonts w:ascii="Cambria" w:hAnsi="Cambria"/>
                <w:szCs w:val="24"/>
              </w:rPr>
              <w:t>2 179 400</w:t>
            </w:r>
          </w:p>
        </w:tc>
      </w:tr>
      <w:tr w:rsidR="00CA0B67" w:rsidRPr="005019FE" w:rsidTr="009560AA">
        <w:trPr>
          <w:trHeight w:val="454"/>
          <w:jc w:val="center"/>
        </w:trPr>
        <w:tc>
          <w:tcPr>
            <w:tcW w:w="4379" w:type="dxa"/>
            <w:vAlign w:val="center"/>
          </w:tcPr>
          <w:p w:rsidR="00CA0B67" w:rsidRPr="005019FE" w:rsidRDefault="00CA0B67" w:rsidP="009560AA">
            <w:pPr>
              <w:pStyle w:val="-LettreTexteGEDA"/>
              <w:spacing w:before="0"/>
              <w:ind w:firstLine="0"/>
              <w:jc w:val="left"/>
              <w:rPr>
                <w:rFonts w:ascii="Cambria" w:hAnsi="Cambria"/>
                <w:szCs w:val="24"/>
              </w:rPr>
            </w:pPr>
            <w:r w:rsidRPr="005019FE">
              <w:rPr>
                <w:rFonts w:ascii="Cambria" w:hAnsi="Cambria"/>
                <w:szCs w:val="24"/>
              </w:rPr>
              <w:t>Lycée d’Uturoa - Raiatea</w:t>
            </w:r>
          </w:p>
        </w:tc>
        <w:tc>
          <w:tcPr>
            <w:tcW w:w="1519" w:type="dxa"/>
            <w:vAlign w:val="center"/>
          </w:tcPr>
          <w:p w:rsidR="00CA0B67" w:rsidRPr="005019FE" w:rsidRDefault="00CA0B67" w:rsidP="009560AA">
            <w:pPr>
              <w:pStyle w:val="-LettreTexteGEDA"/>
              <w:spacing w:before="0"/>
              <w:ind w:firstLine="0"/>
              <w:jc w:val="right"/>
              <w:rPr>
                <w:rFonts w:ascii="Cambria" w:hAnsi="Cambria"/>
                <w:noProof w:val="0"/>
                <w:szCs w:val="24"/>
              </w:rPr>
            </w:pPr>
            <w:r w:rsidRPr="005019FE">
              <w:rPr>
                <w:rFonts w:ascii="Cambria" w:hAnsi="Cambria"/>
                <w:szCs w:val="24"/>
              </w:rPr>
              <w:t>2 162 000</w:t>
            </w:r>
          </w:p>
        </w:tc>
      </w:tr>
      <w:tr w:rsidR="00CA0B67" w:rsidRPr="005019FE" w:rsidTr="009560AA">
        <w:trPr>
          <w:trHeight w:val="454"/>
          <w:jc w:val="center"/>
        </w:trPr>
        <w:tc>
          <w:tcPr>
            <w:tcW w:w="4379" w:type="dxa"/>
            <w:vAlign w:val="center"/>
          </w:tcPr>
          <w:p w:rsidR="00CA0B67" w:rsidRPr="005019FE" w:rsidRDefault="005019FE" w:rsidP="009560AA">
            <w:pPr>
              <w:pStyle w:val="-LettreTexteGEDA"/>
              <w:spacing w:before="0"/>
              <w:ind w:firstLine="0"/>
              <w:jc w:val="left"/>
              <w:rPr>
                <w:rFonts w:ascii="Cambria" w:hAnsi="Cambria"/>
                <w:szCs w:val="24"/>
              </w:rPr>
            </w:pPr>
            <w:r w:rsidRPr="005019FE">
              <w:rPr>
                <w:rFonts w:ascii="Cambria" w:hAnsi="Cambria"/>
                <w:szCs w:val="24"/>
              </w:rPr>
              <w:t xml:space="preserve">Lycée Paul </w:t>
            </w:r>
            <w:r w:rsidR="00CA0B67" w:rsidRPr="005019FE">
              <w:rPr>
                <w:rFonts w:ascii="Cambria" w:hAnsi="Cambria"/>
                <w:szCs w:val="24"/>
              </w:rPr>
              <w:t>Gauguin</w:t>
            </w:r>
          </w:p>
        </w:tc>
        <w:tc>
          <w:tcPr>
            <w:tcW w:w="1519" w:type="dxa"/>
            <w:vAlign w:val="center"/>
          </w:tcPr>
          <w:p w:rsidR="00CA0B67" w:rsidRPr="005019FE" w:rsidRDefault="00CA0B67" w:rsidP="009560AA">
            <w:pPr>
              <w:pStyle w:val="-LettreTexteGEDA"/>
              <w:spacing w:before="0"/>
              <w:ind w:firstLine="0"/>
              <w:jc w:val="right"/>
              <w:rPr>
                <w:rFonts w:ascii="Cambria" w:hAnsi="Cambria"/>
                <w:szCs w:val="24"/>
              </w:rPr>
            </w:pPr>
            <w:r w:rsidRPr="005019FE">
              <w:rPr>
                <w:rFonts w:ascii="Cambria" w:hAnsi="Cambria"/>
                <w:szCs w:val="24"/>
              </w:rPr>
              <w:t>2 586 100</w:t>
            </w:r>
          </w:p>
        </w:tc>
      </w:tr>
      <w:tr w:rsidR="00CA0B67" w:rsidRPr="005019FE" w:rsidTr="009560AA">
        <w:trPr>
          <w:trHeight w:val="454"/>
          <w:jc w:val="center"/>
        </w:trPr>
        <w:tc>
          <w:tcPr>
            <w:tcW w:w="4379" w:type="dxa"/>
            <w:vAlign w:val="center"/>
          </w:tcPr>
          <w:p w:rsidR="00CA0B67" w:rsidRPr="005019FE" w:rsidRDefault="00CA0B67" w:rsidP="009560AA">
            <w:pPr>
              <w:pStyle w:val="-LettreTexteGEDA"/>
              <w:spacing w:before="0"/>
              <w:ind w:firstLine="0"/>
              <w:jc w:val="left"/>
              <w:rPr>
                <w:rFonts w:ascii="Cambria" w:hAnsi="Cambria"/>
                <w:szCs w:val="24"/>
              </w:rPr>
            </w:pPr>
            <w:r w:rsidRPr="005019FE">
              <w:rPr>
                <w:rFonts w:ascii="Cambria" w:hAnsi="Cambria"/>
                <w:szCs w:val="24"/>
              </w:rPr>
              <w:t>Lycée hôtelier de Tahiti</w:t>
            </w:r>
          </w:p>
        </w:tc>
        <w:tc>
          <w:tcPr>
            <w:tcW w:w="1519" w:type="dxa"/>
            <w:vAlign w:val="center"/>
          </w:tcPr>
          <w:p w:rsidR="00CA0B67" w:rsidRPr="005019FE" w:rsidRDefault="00CA0B67" w:rsidP="009560AA">
            <w:pPr>
              <w:pStyle w:val="-LettreTexteGEDA"/>
              <w:spacing w:before="0"/>
              <w:ind w:firstLine="0"/>
              <w:jc w:val="right"/>
              <w:rPr>
                <w:rFonts w:ascii="Cambria" w:hAnsi="Cambria"/>
                <w:szCs w:val="24"/>
              </w:rPr>
            </w:pPr>
            <w:r w:rsidRPr="005019FE">
              <w:rPr>
                <w:rFonts w:ascii="Cambria" w:hAnsi="Cambria"/>
                <w:szCs w:val="24"/>
              </w:rPr>
              <w:t>2 452 500</w:t>
            </w:r>
          </w:p>
        </w:tc>
      </w:tr>
      <w:tr w:rsidR="00CA0B67" w:rsidRPr="005019FE" w:rsidTr="009560AA">
        <w:trPr>
          <w:trHeight w:val="454"/>
          <w:jc w:val="center"/>
        </w:trPr>
        <w:tc>
          <w:tcPr>
            <w:tcW w:w="4379" w:type="dxa"/>
            <w:vAlign w:val="center"/>
          </w:tcPr>
          <w:p w:rsidR="00CA0B67" w:rsidRPr="005019FE" w:rsidRDefault="00CA0B67" w:rsidP="009560AA">
            <w:pPr>
              <w:pStyle w:val="-LettreTexteGEDA"/>
              <w:spacing w:before="0"/>
              <w:ind w:firstLine="0"/>
              <w:jc w:val="left"/>
              <w:rPr>
                <w:rFonts w:ascii="Cambria" w:hAnsi="Cambria"/>
                <w:szCs w:val="24"/>
              </w:rPr>
            </w:pPr>
            <w:r w:rsidRPr="005019FE">
              <w:rPr>
                <w:rFonts w:ascii="Cambria" w:hAnsi="Cambria"/>
                <w:szCs w:val="24"/>
              </w:rPr>
              <w:t>Lycée professionnel d’Uturoa - Raiatea</w:t>
            </w:r>
          </w:p>
        </w:tc>
        <w:tc>
          <w:tcPr>
            <w:tcW w:w="1519" w:type="dxa"/>
            <w:vAlign w:val="center"/>
          </w:tcPr>
          <w:p w:rsidR="00CA0B67" w:rsidRPr="005019FE" w:rsidRDefault="00CA0B67" w:rsidP="009560AA">
            <w:pPr>
              <w:pStyle w:val="-LettreTexteGEDA"/>
              <w:spacing w:before="0"/>
              <w:ind w:firstLine="0"/>
              <w:jc w:val="right"/>
              <w:rPr>
                <w:rFonts w:ascii="Cambria" w:hAnsi="Cambria"/>
                <w:szCs w:val="24"/>
              </w:rPr>
            </w:pPr>
            <w:r w:rsidRPr="005019FE">
              <w:rPr>
                <w:rFonts w:ascii="Cambria" w:hAnsi="Cambria"/>
                <w:szCs w:val="24"/>
              </w:rPr>
              <w:t>1 755 800</w:t>
            </w:r>
          </w:p>
        </w:tc>
      </w:tr>
    </w:tbl>
    <w:p w:rsidR="00CA0B67" w:rsidRPr="005019FE" w:rsidRDefault="00CA0B67" w:rsidP="00CA0B67">
      <w:pPr>
        <w:pStyle w:val="-LettreTexteGEDA"/>
        <w:spacing w:before="0"/>
        <w:rPr>
          <w:rFonts w:ascii="Cambria" w:hAnsi="Cambria"/>
          <w:noProof w:val="0"/>
          <w:szCs w:val="24"/>
        </w:rPr>
      </w:pPr>
    </w:p>
    <w:p w:rsidR="00CA0B67" w:rsidRDefault="00CA0B67" w:rsidP="00554294">
      <w:pPr>
        <w:pStyle w:val="-LettreTexteGEDA"/>
        <w:ind w:firstLine="0"/>
        <w:rPr>
          <w:szCs w:val="24"/>
        </w:rPr>
      </w:pPr>
    </w:p>
    <w:p w:rsidR="00554294" w:rsidRDefault="00554294" w:rsidP="00554294">
      <w:pPr>
        <w:pStyle w:val="-LettreTexteGEDA"/>
        <w:ind w:firstLine="0"/>
        <w:rPr>
          <w:szCs w:val="24"/>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50" w:rsidRDefault="001C2250">
      <w:r>
        <w:separator/>
      </w:r>
    </w:p>
  </w:endnote>
  <w:endnote w:type="continuationSeparator" w:id="0">
    <w:p w:rsidR="001C2250" w:rsidRDefault="001C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Noto Sans Symbols">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1C2250"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1C2250"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50" w:rsidRDefault="001C2250">
      <w:r>
        <w:separator/>
      </w:r>
    </w:p>
  </w:footnote>
  <w:footnote w:type="continuationSeparator" w:id="0">
    <w:p w:rsidR="001C2250" w:rsidRDefault="001C2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1E8D"/>
    <w:multiLevelType w:val="hybridMultilevel"/>
    <w:tmpl w:val="5C40951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26EDA"/>
    <w:multiLevelType w:val="hybridMultilevel"/>
    <w:tmpl w:val="3F48164C"/>
    <w:lvl w:ilvl="0" w:tplc="3E2C9A9A">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0DDB3A3F"/>
    <w:multiLevelType w:val="hybridMultilevel"/>
    <w:tmpl w:val="94CCDD14"/>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13F5F9C"/>
    <w:multiLevelType w:val="hybridMultilevel"/>
    <w:tmpl w:val="563459F6"/>
    <w:lvl w:ilvl="0" w:tplc="D5A48CC2">
      <w:numFmt w:val="bullet"/>
      <w:lvlText w:val="-"/>
      <w:lvlJc w:val="left"/>
      <w:pPr>
        <w:ind w:left="1256" w:hanging="360"/>
      </w:pPr>
      <w:rPr>
        <w:rFonts w:ascii="Times New Roman" w:eastAsia="Times New Roman" w:hAnsi="Times New Roman" w:cs="Times New Roman"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5">
    <w:nsid w:val="1A027998"/>
    <w:multiLevelType w:val="hybridMultilevel"/>
    <w:tmpl w:val="2770661C"/>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5DC2A44"/>
    <w:multiLevelType w:val="hybridMultilevel"/>
    <w:tmpl w:val="7C647246"/>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92E7C5F"/>
    <w:multiLevelType w:val="hybridMultilevel"/>
    <w:tmpl w:val="0FD6EFF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2AFF359E"/>
    <w:multiLevelType w:val="hybridMultilevel"/>
    <w:tmpl w:val="6EB22982"/>
    <w:lvl w:ilvl="0" w:tplc="9398D5DE">
      <w:start w:val="1"/>
      <w:numFmt w:val="bullet"/>
      <w:lvlText w:val=""/>
      <w:lvlJc w:val="left"/>
      <w:pPr>
        <w:ind w:left="1211" w:hanging="360"/>
      </w:pPr>
      <w:rPr>
        <w:rFonts w:ascii="Symbol" w:hAnsi="Symbol" w:hint="default"/>
      </w:rPr>
    </w:lvl>
    <w:lvl w:ilvl="1" w:tplc="9398D5DE">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C160764"/>
    <w:multiLevelType w:val="hybridMultilevel"/>
    <w:tmpl w:val="75583AB6"/>
    <w:lvl w:ilvl="0" w:tplc="DD20AF6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nsid w:val="2D6F352E"/>
    <w:multiLevelType w:val="hybridMultilevel"/>
    <w:tmpl w:val="AC70CD20"/>
    <w:lvl w:ilvl="0" w:tplc="DB54B544">
      <w:start w:val="1"/>
      <w:numFmt w:val="bullet"/>
      <w:lvlText w:val="‐"/>
      <w:lvlJc w:val="left"/>
      <w:pPr>
        <w:ind w:left="1429" w:hanging="360"/>
      </w:pPr>
      <w:rPr>
        <w:rFonts w:ascii="Times New Roman" w:hAnsi="Times New Roman"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2">
    <w:nsid w:val="2EC44B17"/>
    <w:multiLevelType w:val="hybridMultilevel"/>
    <w:tmpl w:val="B93835A2"/>
    <w:lvl w:ilvl="0" w:tplc="D31A3C8A">
      <w:numFmt w:val="bullet"/>
      <w:lvlText w:val="-"/>
      <w:lvlJc w:val="left"/>
      <w:pPr>
        <w:ind w:left="720" w:hanging="360"/>
      </w:pPr>
      <w:rPr>
        <w:rFonts w:ascii="Cambria" w:eastAsia="Calibri" w:hAnsi="Cambria"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18086C"/>
    <w:multiLevelType w:val="hybridMultilevel"/>
    <w:tmpl w:val="7FF204E6"/>
    <w:lvl w:ilvl="0" w:tplc="DFE865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EA7612"/>
    <w:multiLevelType w:val="hybridMultilevel"/>
    <w:tmpl w:val="A628EF20"/>
    <w:lvl w:ilvl="0" w:tplc="0382D98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8">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9">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6745D1"/>
    <w:multiLevelType w:val="hybridMultilevel"/>
    <w:tmpl w:val="E70A04BA"/>
    <w:lvl w:ilvl="0" w:tplc="040C000B">
      <w:start w:val="1"/>
      <w:numFmt w:val="bullet"/>
      <w:lvlText w:val=""/>
      <w:lvlJc w:val="left"/>
      <w:pPr>
        <w:ind w:left="2291" w:hanging="360"/>
      </w:pPr>
      <w:rPr>
        <w:rFonts w:ascii="Wingdings" w:hAnsi="Wingdings" w:hint="default"/>
      </w:rPr>
    </w:lvl>
    <w:lvl w:ilvl="1" w:tplc="040C0003" w:tentative="1">
      <w:start w:val="1"/>
      <w:numFmt w:val="bullet"/>
      <w:lvlText w:val="o"/>
      <w:lvlJc w:val="left"/>
      <w:pPr>
        <w:ind w:left="3011" w:hanging="360"/>
      </w:pPr>
      <w:rPr>
        <w:rFonts w:ascii="Courier New" w:hAnsi="Courier New" w:cs="Courier New" w:hint="default"/>
      </w:rPr>
    </w:lvl>
    <w:lvl w:ilvl="2" w:tplc="040C0005" w:tentative="1">
      <w:start w:val="1"/>
      <w:numFmt w:val="bullet"/>
      <w:lvlText w:val=""/>
      <w:lvlJc w:val="left"/>
      <w:pPr>
        <w:ind w:left="3731" w:hanging="360"/>
      </w:pPr>
      <w:rPr>
        <w:rFonts w:ascii="Wingdings" w:hAnsi="Wingdings" w:hint="default"/>
      </w:rPr>
    </w:lvl>
    <w:lvl w:ilvl="3" w:tplc="040C0001" w:tentative="1">
      <w:start w:val="1"/>
      <w:numFmt w:val="bullet"/>
      <w:lvlText w:val=""/>
      <w:lvlJc w:val="left"/>
      <w:pPr>
        <w:ind w:left="4451" w:hanging="360"/>
      </w:pPr>
      <w:rPr>
        <w:rFonts w:ascii="Symbol" w:hAnsi="Symbol" w:hint="default"/>
      </w:rPr>
    </w:lvl>
    <w:lvl w:ilvl="4" w:tplc="040C0003" w:tentative="1">
      <w:start w:val="1"/>
      <w:numFmt w:val="bullet"/>
      <w:lvlText w:val="o"/>
      <w:lvlJc w:val="left"/>
      <w:pPr>
        <w:ind w:left="5171" w:hanging="360"/>
      </w:pPr>
      <w:rPr>
        <w:rFonts w:ascii="Courier New" w:hAnsi="Courier New" w:cs="Courier New" w:hint="default"/>
      </w:rPr>
    </w:lvl>
    <w:lvl w:ilvl="5" w:tplc="040C0005" w:tentative="1">
      <w:start w:val="1"/>
      <w:numFmt w:val="bullet"/>
      <w:lvlText w:val=""/>
      <w:lvlJc w:val="left"/>
      <w:pPr>
        <w:ind w:left="5891" w:hanging="360"/>
      </w:pPr>
      <w:rPr>
        <w:rFonts w:ascii="Wingdings" w:hAnsi="Wingdings" w:hint="default"/>
      </w:rPr>
    </w:lvl>
    <w:lvl w:ilvl="6" w:tplc="040C0001" w:tentative="1">
      <w:start w:val="1"/>
      <w:numFmt w:val="bullet"/>
      <w:lvlText w:val=""/>
      <w:lvlJc w:val="left"/>
      <w:pPr>
        <w:ind w:left="6611" w:hanging="360"/>
      </w:pPr>
      <w:rPr>
        <w:rFonts w:ascii="Symbol" w:hAnsi="Symbol" w:hint="default"/>
      </w:rPr>
    </w:lvl>
    <w:lvl w:ilvl="7" w:tplc="040C0003" w:tentative="1">
      <w:start w:val="1"/>
      <w:numFmt w:val="bullet"/>
      <w:lvlText w:val="o"/>
      <w:lvlJc w:val="left"/>
      <w:pPr>
        <w:ind w:left="7331" w:hanging="360"/>
      </w:pPr>
      <w:rPr>
        <w:rFonts w:ascii="Courier New" w:hAnsi="Courier New" w:cs="Courier New" w:hint="default"/>
      </w:rPr>
    </w:lvl>
    <w:lvl w:ilvl="8" w:tplc="040C0005" w:tentative="1">
      <w:start w:val="1"/>
      <w:numFmt w:val="bullet"/>
      <w:lvlText w:val=""/>
      <w:lvlJc w:val="left"/>
      <w:pPr>
        <w:ind w:left="8051" w:hanging="360"/>
      </w:pPr>
      <w:rPr>
        <w:rFonts w:ascii="Wingdings" w:hAnsi="Wingdings" w:hint="default"/>
      </w:rPr>
    </w:lvl>
  </w:abstractNum>
  <w:abstractNum w:abstractNumId="22">
    <w:nsid w:val="4DD10C03"/>
    <w:multiLevelType w:val="hybridMultilevel"/>
    <w:tmpl w:val="DF0444B2"/>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3642DD"/>
    <w:multiLevelType w:val="hybridMultilevel"/>
    <w:tmpl w:val="ED0A5B42"/>
    <w:lvl w:ilvl="0" w:tplc="31C607FE">
      <w:start w:val="843"/>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B53528"/>
    <w:multiLevelType w:val="hybridMultilevel"/>
    <w:tmpl w:val="0B480DB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52DB69D9"/>
    <w:multiLevelType w:val="hybridMultilevel"/>
    <w:tmpl w:val="04324CF2"/>
    <w:lvl w:ilvl="0" w:tplc="EE1435D4">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57C02B49"/>
    <w:multiLevelType w:val="hybridMultilevel"/>
    <w:tmpl w:val="95B83EB2"/>
    <w:lvl w:ilvl="0" w:tplc="EA429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B631DA"/>
    <w:multiLevelType w:val="multilevel"/>
    <w:tmpl w:val="4ADE814A"/>
    <w:lvl w:ilvl="0">
      <w:start w:val="16"/>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8">
    <w:nsid w:val="6002698E"/>
    <w:multiLevelType w:val="hybridMultilevel"/>
    <w:tmpl w:val="6F860880"/>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9">
    <w:nsid w:val="646F37A4"/>
    <w:multiLevelType w:val="hybridMultilevel"/>
    <w:tmpl w:val="97B6B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AB6BB0"/>
    <w:multiLevelType w:val="hybridMultilevel"/>
    <w:tmpl w:val="15526632"/>
    <w:lvl w:ilvl="0" w:tplc="1F206084">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8B9614F"/>
    <w:multiLevelType w:val="hybridMultilevel"/>
    <w:tmpl w:val="B38ED1FE"/>
    <w:lvl w:ilvl="0" w:tplc="E4F8BE9A">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2">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33">
    <w:nsid w:val="6A5519FB"/>
    <w:multiLevelType w:val="hybridMultilevel"/>
    <w:tmpl w:val="D818D34E"/>
    <w:lvl w:ilvl="0" w:tplc="0382D98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BEF022E"/>
    <w:multiLevelType w:val="hybridMultilevel"/>
    <w:tmpl w:val="2DE4F85C"/>
    <w:lvl w:ilvl="0" w:tplc="8904EF5C">
      <w:start w:val="16"/>
      <w:numFmt w:val="bullet"/>
      <w:lvlText w:val="-"/>
      <w:lvlJc w:val="left"/>
      <w:pPr>
        <w:ind w:left="2136" w:hanging="360"/>
      </w:pPr>
      <w:rPr>
        <w:rFonts w:ascii="Trebuchet MS" w:eastAsia="Times New Roman" w:hAnsi="Trebuchet MS" w:cs="Aria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5">
    <w:nsid w:val="6D0D4939"/>
    <w:multiLevelType w:val="hybridMultilevel"/>
    <w:tmpl w:val="2AE63CB0"/>
    <w:lvl w:ilvl="0" w:tplc="9398D5D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6">
    <w:nsid w:val="76E17853"/>
    <w:multiLevelType w:val="hybridMultilevel"/>
    <w:tmpl w:val="BF7E0020"/>
    <w:lvl w:ilvl="0" w:tplc="61D20AC8">
      <w:numFmt w:val="bullet"/>
      <w:lvlText w:val="-"/>
      <w:lvlJc w:val="left"/>
      <w:pPr>
        <w:ind w:left="720" w:hanging="360"/>
      </w:pPr>
      <w:rPr>
        <w:rFonts w:ascii="Vrinda" w:eastAsia="Times New Roman"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ABB3447"/>
    <w:multiLevelType w:val="hybridMultilevel"/>
    <w:tmpl w:val="214E3344"/>
    <w:lvl w:ilvl="0" w:tplc="82A0A86E">
      <w:start w:val="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8">
    <w:nsid w:val="7ECA684D"/>
    <w:multiLevelType w:val="hybridMultilevel"/>
    <w:tmpl w:val="20803C8E"/>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3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7"/>
  </w:num>
  <w:num w:numId="2">
    <w:abstractNumId w:val="18"/>
  </w:num>
  <w:num w:numId="3">
    <w:abstractNumId w:val="39"/>
  </w:num>
  <w:num w:numId="4">
    <w:abstractNumId w:val="32"/>
  </w:num>
  <w:num w:numId="5">
    <w:abstractNumId w:val="19"/>
  </w:num>
  <w:num w:numId="6">
    <w:abstractNumId w:val="14"/>
  </w:num>
  <w:num w:numId="7">
    <w:abstractNumId w:val="15"/>
  </w:num>
  <w:num w:numId="8">
    <w:abstractNumId w:val="1"/>
  </w:num>
  <w:num w:numId="9">
    <w:abstractNumId w:val="20"/>
  </w:num>
  <w:num w:numId="10">
    <w:abstractNumId w:val="10"/>
  </w:num>
  <w:num w:numId="11">
    <w:abstractNumId w:val="30"/>
  </w:num>
  <w:num w:numId="12">
    <w:abstractNumId w:val="26"/>
  </w:num>
  <w:num w:numId="13">
    <w:abstractNumId w:val="23"/>
  </w:num>
  <w:num w:numId="14">
    <w:abstractNumId w:val="25"/>
  </w:num>
  <w:num w:numId="15">
    <w:abstractNumId w:val="4"/>
  </w:num>
  <w:num w:numId="16">
    <w:abstractNumId w:val="2"/>
  </w:num>
  <w:num w:numId="17">
    <w:abstractNumId w:val="36"/>
  </w:num>
  <w:num w:numId="18">
    <w:abstractNumId w:val="22"/>
  </w:num>
  <w:num w:numId="19">
    <w:abstractNumId w:val="0"/>
  </w:num>
  <w:num w:numId="20">
    <w:abstractNumId w:val="29"/>
  </w:num>
  <w:num w:numId="21">
    <w:abstractNumId w:val="9"/>
  </w:num>
  <w:num w:numId="22">
    <w:abstractNumId w:val="35"/>
  </w:num>
  <w:num w:numId="23">
    <w:abstractNumId w:val="13"/>
  </w:num>
  <w:num w:numId="24">
    <w:abstractNumId w:val="37"/>
  </w:num>
  <w:num w:numId="25">
    <w:abstractNumId w:val="34"/>
  </w:num>
  <w:num w:numId="26">
    <w:abstractNumId w:val="28"/>
  </w:num>
  <w:num w:numId="27">
    <w:abstractNumId w:val="27"/>
  </w:num>
  <w:num w:numId="28">
    <w:abstractNumId w:val="12"/>
  </w:num>
  <w:num w:numId="29">
    <w:abstractNumId w:val="11"/>
  </w:num>
  <w:num w:numId="30">
    <w:abstractNumId w:val="18"/>
  </w:num>
  <w:num w:numId="31">
    <w:abstractNumId w:val="18"/>
  </w:num>
  <w:num w:numId="32">
    <w:abstractNumId w:val="18"/>
  </w:num>
  <w:num w:numId="33">
    <w:abstractNumId w:val="33"/>
  </w:num>
  <w:num w:numId="34">
    <w:abstractNumId w:val="3"/>
  </w:num>
  <w:num w:numId="35">
    <w:abstractNumId w:val="5"/>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24"/>
  </w:num>
  <w:num w:numId="40">
    <w:abstractNumId w:val="7"/>
  </w:num>
  <w:num w:numId="41">
    <w:abstractNumId w:val="21"/>
  </w:num>
  <w:num w:numId="42">
    <w:abstractNumId w:val="3"/>
  </w:num>
  <w:num w:numId="43">
    <w:abstractNumId w:val="8"/>
  </w:num>
  <w:num w:numId="44">
    <w:abstractNumId w:val="16"/>
  </w:num>
  <w:num w:numId="45">
    <w:abstractNumId w:val="31"/>
  </w:num>
  <w:num w:numId="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3093E"/>
    <w:rsid w:val="00033658"/>
    <w:rsid w:val="00040642"/>
    <w:rsid w:val="000448E5"/>
    <w:rsid w:val="00045E81"/>
    <w:rsid w:val="00047992"/>
    <w:rsid w:val="000508C8"/>
    <w:rsid w:val="00064A61"/>
    <w:rsid w:val="000728E0"/>
    <w:rsid w:val="0008409F"/>
    <w:rsid w:val="00086538"/>
    <w:rsid w:val="00087CFE"/>
    <w:rsid w:val="0009440F"/>
    <w:rsid w:val="00094FC4"/>
    <w:rsid w:val="000A7995"/>
    <w:rsid w:val="000B0B49"/>
    <w:rsid w:val="000B150B"/>
    <w:rsid w:val="000B4563"/>
    <w:rsid w:val="000B77CD"/>
    <w:rsid w:val="000C0F06"/>
    <w:rsid w:val="000C3FED"/>
    <w:rsid w:val="000C55DA"/>
    <w:rsid w:val="000D41CD"/>
    <w:rsid w:val="000D60AF"/>
    <w:rsid w:val="000E790C"/>
    <w:rsid w:val="000F7373"/>
    <w:rsid w:val="001053EF"/>
    <w:rsid w:val="00112BB8"/>
    <w:rsid w:val="00114615"/>
    <w:rsid w:val="00121991"/>
    <w:rsid w:val="00121B8F"/>
    <w:rsid w:val="00124A38"/>
    <w:rsid w:val="001260E1"/>
    <w:rsid w:val="00131F0F"/>
    <w:rsid w:val="00141919"/>
    <w:rsid w:val="001510DE"/>
    <w:rsid w:val="0016503A"/>
    <w:rsid w:val="001775EE"/>
    <w:rsid w:val="0018145E"/>
    <w:rsid w:val="001A2D2F"/>
    <w:rsid w:val="001A2EBB"/>
    <w:rsid w:val="001A5551"/>
    <w:rsid w:val="001A5B63"/>
    <w:rsid w:val="001A731D"/>
    <w:rsid w:val="001B1A33"/>
    <w:rsid w:val="001B28FD"/>
    <w:rsid w:val="001C2250"/>
    <w:rsid w:val="001C5819"/>
    <w:rsid w:val="001C6C5E"/>
    <w:rsid w:val="001C74FC"/>
    <w:rsid w:val="001D6BE1"/>
    <w:rsid w:val="001E0F84"/>
    <w:rsid w:val="001E20C7"/>
    <w:rsid w:val="001E2C77"/>
    <w:rsid w:val="001E3419"/>
    <w:rsid w:val="001E3E58"/>
    <w:rsid w:val="001E4B80"/>
    <w:rsid w:val="001E5D1D"/>
    <w:rsid w:val="001E5D7F"/>
    <w:rsid w:val="001E69FF"/>
    <w:rsid w:val="001F02DD"/>
    <w:rsid w:val="001F2760"/>
    <w:rsid w:val="001F6D55"/>
    <w:rsid w:val="0022221E"/>
    <w:rsid w:val="00235683"/>
    <w:rsid w:val="002359E5"/>
    <w:rsid w:val="00247536"/>
    <w:rsid w:val="002512C5"/>
    <w:rsid w:val="002648E4"/>
    <w:rsid w:val="00264EF2"/>
    <w:rsid w:val="00270AE2"/>
    <w:rsid w:val="00277481"/>
    <w:rsid w:val="00285425"/>
    <w:rsid w:val="00286EAD"/>
    <w:rsid w:val="00286FFA"/>
    <w:rsid w:val="002904DD"/>
    <w:rsid w:val="00297A93"/>
    <w:rsid w:val="002A1123"/>
    <w:rsid w:val="002A79DA"/>
    <w:rsid w:val="002B1B00"/>
    <w:rsid w:val="002B5710"/>
    <w:rsid w:val="002B5B92"/>
    <w:rsid w:val="002C134A"/>
    <w:rsid w:val="002C3C82"/>
    <w:rsid w:val="002C5958"/>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66694"/>
    <w:rsid w:val="00375466"/>
    <w:rsid w:val="00376D41"/>
    <w:rsid w:val="00393D5F"/>
    <w:rsid w:val="00395780"/>
    <w:rsid w:val="00396E20"/>
    <w:rsid w:val="003A3094"/>
    <w:rsid w:val="003B14D7"/>
    <w:rsid w:val="003B57C8"/>
    <w:rsid w:val="003B5A14"/>
    <w:rsid w:val="003C5469"/>
    <w:rsid w:val="003D37E1"/>
    <w:rsid w:val="003D62F0"/>
    <w:rsid w:val="003E3D40"/>
    <w:rsid w:val="003E44BD"/>
    <w:rsid w:val="003F0DC9"/>
    <w:rsid w:val="003F3E11"/>
    <w:rsid w:val="00403CBD"/>
    <w:rsid w:val="004045BC"/>
    <w:rsid w:val="004119C3"/>
    <w:rsid w:val="00412883"/>
    <w:rsid w:val="00414234"/>
    <w:rsid w:val="00415AE9"/>
    <w:rsid w:val="00416ABB"/>
    <w:rsid w:val="0042162D"/>
    <w:rsid w:val="0042227C"/>
    <w:rsid w:val="00424B02"/>
    <w:rsid w:val="004419CA"/>
    <w:rsid w:val="004443F9"/>
    <w:rsid w:val="00447307"/>
    <w:rsid w:val="00464DBA"/>
    <w:rsid w:val="00466539"/>
    <w:rsid w:val="00477702"/>
    <w:rsid w:val="004824BE"/>
    <w:rsid w:val="004901D8"/>
    <w:rsid w:val="004945F1"/>
    <w:rsid w:val="004A0C8B"/>
    <w:rsid w:val="004B281C"/>
    <w:rsid w:val="004C04C6"/>
    <w:rsid w:val="004C0B54"/>
    <w:rsid w:val="004D2C02"/>
    <w:rsid w:val="004E1879"/>
    <w:rsid w:val="004E59E4"/>
    <w:rsid w:val="004F1581"/>
    <w:rsid w:val="004F2666"/>
    <w:rsid w:val="004F6AB0"/>
    <w:rsid w:val="005019FE"/>
    <w:rsid w:val="005071D6"/>
    <w:rsid w:val="00511481"/>
    <w:rsid w:val="005117FB"/>
    <w:rsid w:val="00514734"/>
    <w:rsid w:val="00537381"/>
    <w:rsid w:val="0054277A"/>
    <w:rsid w:val="00546CAE"/>
    <w:rsid w:val="00551CEE"/>
    <w:rsid w:val="00554294"/>
    <w:rsid w:val="00555562"/>
    <w:rsid w:val="0057103B"/>
    <w:rsid w:val="0057273D"/>
    <w:rsid w:val="00580ED3"/>
    <w:rsid w:val="00582D1E"/>
    <w:rsid w:val="005942B2"/>
    <w:rsid w:val="0059665C"/>
    <w:rsid w:val="005968D2"/>
    <w:rsid w:val="005A2DD5"/>
    <w:rsid w:val="005C0F65"/>
    <w:rsid w:val="005C542C"/>
    <w:rsid w:val="005D0C9C"/>
    <w:rsid w:val="005D1E56"/>
    <w:rsid w:val="005D300C"/>
    <w:rsid w:val="005E1F37"/>
    <w:rsid w:val="005E3D2E"/>
    <w:rsid w:val="005F11F1"/>
    <w:rsid w:val="005F5786"/>
    <w:rsid w:val="005F67A7"/>
    <w:rsid w:val="006065EA"/>
    <w:rsid w:val="00620349"/>
    <w:rsid w:val="006220B2"/>
    <w:rsid w:val="006351F3"/>
    <w:rsid w:val="00636B0B"/>
    <w:rsid w:val="00637337"/>
    <w:rsid w:val="00643F5E"/>
    <w:rsid w:val="0064491E"/>
    <w:rsid w:val="00646D25"/>
    <w:rsid w:val="00654764"/>
    <w:rsid w:val="006619B5"/>
    <w:rsid w:val="00672ED4"/>
    <w:rsid w:val="00683D1F"/>
    <w:rsid w:val="00691CAE"/>
    <w:rsid w:val="0069242B"/>
    <w:rsid w:val="00697133"/>
    <w:rsid w:val="006A3579"/>
    <w:rsid w:val="006B3B14"/>
    <w:rsid w:val="006B623F"/>
    <w:rsid w:val="006C3B44"/>
    <w:rsid w:val="006E411F"/>
    <w:rsid w:val="006E478C"/>
    <w:rsid w:val="006E7470"/>
    <w:rsid w:val="006E76C6"/>
    <w:rsid w:val="006F13F3"/>
    <w:rsid w:val="006F3B1B"/>
    <w:rsid w:val="006F7090"/>
    <w:rsid w:val="007052A3"/>
    <w:rsid w:val="00706485"/>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848AD"/>
    <w:rsid w:val="008856F9"/>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6A19"/>
    <w:rsid w:val="00906D50"/>
    <w:rsid w:val="00910FD4"/>
    <w:rsid w:val="00922ABB"/>
    <w:rsid w:val="0093313C"/>
    <w:rsid w:val="009401EA"/>
    <w:rsid w:val="0094463C"/>
    <w:rsid w:val="00950864"/>
    <w:rsid w:val="00950F40"/>
    <w:rsid w:val="00952102"/>
    <w:rsid w:val="00954182"/>
    <w:rsid w:val="00960A98"/>
    <w:rsid w:val="009740B4"/>
    <w:rsid w:val="00974CB1"/>
    <w:rsid w:val="00976B85"/>
    <w:rsid w:val="00982775"/>
    <w:rsid w:val="00986537"/>
    <w:rsid w:val="0099197F"/>
    <w:rsid w:val="00994824"/>
    <w:rsid w:val="00994A64"/>
    <w:rsid w:val="009A0987"/>
    <w:rsid w:val="009A1A25"/>
    <w:rsid w:val="009A2109"/>
    <w:rsid w:val="009A3BA0"/>
    <w:rsid w:val="009B11A7"/>
    <w:rsid w:val="009B5FE5"/>
    <w:rsid w:val="009B73C8"/>
    <w:rsid w:val="009B778E"/>
    <w:rsid w:val="009C0DEF"/>
    <w:rsid w:val="009D1DF3"/>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3389"/>
    <w:rsid w:val="00A80857"/>
    <w:rsid w:val="00A87746"/>
    <w:rsid w:val="00A93D19"/>
    <w:rsid w:val="00AA198C"/>
    <w:rsid w:val="00AA5DB0"/>
    <w:rsid w:val="00AB7D79"/>
    <w:rsid w:val="00AC42CB"/>
    <w:rsid w:val="00AC52AE"/>
    <w:rsid w:val="00AC57F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4749"/>
    <w:rsid w:val="00B64483"/>
    <w:rsid w:val="00B709A4"/>
    <w:rsid w:val="00B74014"/>
    <w:rsid w:val="00B74B8A"/>
    <w:rsid w:val="00B76EC6"/>
    <w:rsid w:val="00B82454"/>
    <w:rsid w:val="00B83D50"/>
    <w:rsid w:val="00B95C0A"/>
    <w:rsid w:val="00BA3B8B"/>
    <w:rsid w:val="00BB15C2"/>
    <w:rsid w:val="00BC1461"/>
    <w:rsid w:val="00BC5AC8"/>
    <w:rsid w:val="00BC620E"/>
    <w:rsid w:val="00BC75D2"/>
    <w:rsid w:val="00BD7B99"/>
    <w:rsid w:val="00BD7FCE"/>
    <w:rsid w:val="00BF02E7"/>
    <w:rsid w:val="00BF6DB2"/>
    <w:rsid w:val="00BF6F91"/>
    <w:rsid w:val="00C109C3"/>
    <w:rsid w:val="00C10AEC"/>
    <w:rsid w:val="00C16652"/>
    <w:rsid w:val="00C2035B"/>
    <w:rsid w:val="00C25610"/>
    <w:rsid w:val="00C34DFF"/>
    <w:rsid w:val="00C354A8"/>
    <w:rsid w:val="00C575E2"/>
    <w:rsid w:val="00C57F44"/>
    <w:rsid w:val="00C83E94"/>
    <w:rsid w:val="00C84CFA"/>
    <w:rsid w:val="00C85666"/>
    <w:rsid w:val="00C85BDA"/>
    <w:rsid w:val="00C86F4D"/>
    <w:rsid w:val="00C9156B"/>
    <w:rsid w:val="00CA0B67"/>
    <w:rsid w:val="00CA5FA6"/>
    <w:rsid w:val="00CB6A2E"/>
    <w:rsid w:val="00CC0122"/>
    <w:rsid w:val="00CC0DAF"/>
    <w:rsid w:val="00CC20A0"/>
    <w:rsid w:val="00CC37AD"/>
    <w:rsid w:val="00CC4E02"/>
    <w:rsid w:val="00CD41CD"/>
    <w:rsid w:val="00CE1868"/>
    <w:rsid w:val="00CE27DC"/>
    <w:rsid w:val="00CE47CE"/>
    <w:rsid w:val="00CE51BA"/>
    <w:rsid w:val="00CF4D51"/>
    <w:rsid w:val="00CF614D"/>
    <w:rsid w:val="00CF6903"/>
    <w:rsid w:val="00D032A7"/>
    <w:rsid w:val="00D04AC3"/>
    <w:rsid w:val="00D1407C"/>
    <w:rsid w:val="00D24AAC"/>
    <w:rsid w:val="00D332FD"/>
    <w:rsid w:val="00D4017A"/>
    <w:rsid w:val="00D409EF"/>
    <w:rsid w:val="00D40DA6"/>
    <w:rsid w:val="00D41691"/>
    <w:rsid w:val="00D42763"/>
    <w:rsid w:val="00D4396A"/>
    <w:rsid w:val="00D531A2"/>
    <w:rsid w:val="00D61A9C"/>
    <w:rsid w:val="00D626CC"/>
    <w:rsid w:val="00D7084B"/>
    <w:rsid w:val="00D71284"/>
    <w:rsid w:val="00D7269F"/>
    <w:rsid w:val="00D77283"/>
    <w:rsid w:val="00D7791F"/>
    <w:rsid w:val="00D83D64"/>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879D4"/>
    <w:rsid w:val="00EA00C5"/>
    <w:rsid w:val="00EA108B"/>
    <w:rsid w:val="00EA2304"/>
    <w:rsid w:val="00EA5932"/>
    <w:rsid w:val="00EA73B5"/>
    <w:rsid w:val="00EA7C9E"/>
    <w:rsid w:val="00EB145A"/>
    <w:rsid w:val="00EB73A7"/>
    <w:rsid w:val="00EC4E4B"/>
    <w:rsid w:val="00EC7D90"/>
    <w:rsid w:val="00ED0838"/>
    <w:rsid w:val="00ED2109"/>
    <w:rsid w:val="00ED5755"/>
    <w:rsid w:val="00EE3200"/>
    <w:rsid w:val="00EF33F2"/>
    <w:rsid w:val="00EF67B9"/>
    <w:rsid w:val="00F01372"/>
    <w:rsid w:val="00F06EBE"/>
    <w:rsid w:val="00F131FF"/>
    <w:rsid w:val="00F1507F"/>
    <w:rsid w:val="00F17756"/>
    <w:rsid w:val="00F20FFC"/>
    <w:rsid w:val="00F21C84"/>
    <w:rsid w:val="00F246BA"/>
    <w:rsid w:val="00F30D9B"/>
    <w:rsid w:val="00F36CE9"/>
    <w:rsid w:val="00F372AE"/>
    <w:rsid w:val="00F375EA"/>
    <w:rsid w:val="00F41ADF"/>
    <w:rsid w:val="00F50185"/>
    <w:rsid w:val="00F52E28"/>
    <w:rsid w:val="00F53784"/>
    <w:rsid w:val="00F6507B"/>
    <w:rsid w:val="00F67571"/>
    <w:rsid w:val="00F72A91"/>
    <w:rsid w:val="00F72D1E"/>
    <w:rsid w:val="00F80684"/>
    <w:rsid w:val="00F868AE"/>
    <w:rsid w:val="00F90E7B"/>
    <w:rsid w:val="00F92D64"/>
    <w:rsid w:val="00F93C10"/>
    <w:rsid w:val="00F94E8B"/>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0C520-BFED-4BB2-8ACD-D7382BD3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uiPriority w:val="99"/>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uiPriority w:val="99"/>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2695</Words>
  <Characters>14827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cp:lastPrinted>2019-12-03T18:24:00Z</cp:lastPrinted>
  <dcterms:created xsi:type="dcterms:W3CDTF">2020-06-04T00:14:00Z</dcterms:created>
  <dcterms:modified xsi:type="dcterms:W3CDTF">2020-06-04T00:39:00Z</dcterms:modified>
</cp:coreProperties>
</file>