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693F08" w:rsidRDefault="00CE47CE" w:rsidP="00CE47CE">
      <w:pPr>
        <w:pStyle w:val="Sansinterligne"/>
        <w:rPr>
          <w:rFonts w:asciiTheme="majorHAnsi" w:hAnsiTheme="majorHAnsi"/>
          <w:lang w:eastAsia="fr-FR"/>
        </w:rPr>
      </w:pPr>
      <w:r w:rsidRPr="00693F08">
        <w:rPr>
          <w:rFonts w:asciiTheme="majorHAnsi" w:hAnsiTheme="majorHAnsi"/>
          <w:noProof/>
          <w:lang w:eastAsia="fr-FR"/>
        </w:rPr>
        <w:drawing>
          <wp:anchor distT="0" distB="0" distL="114300" distR="114300" simplePos="0" relativeHeight="251659264" behindDoc="1" locked="0" layoutInCell="1" allowOverlap="1" wp14:anchorId="340143FC" wp14:editId="2F99E627">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8">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693F08">
        <w:rPr>
          <w:rFonts w:asciiTheme="majorHAnsi" w:hAnsiTheme="majorHAnsi"/>
          <w:noProof/>
          <w:lang w:eastAsia="fr-FR"/>
        </w:rPr>
        <mc:AlternateContent>
          <mc:Choice Requires="wps">
            <w:drawing>
              <wp:anchor distT="45720" distB="45720" distL="114300" distR="114300" simplePos="0" relativeHeight="251660288" behindDoc="0" locked="0" layoutInCell="1" allowOverlap="1" wp14:anchorId="3E1F2436" wp14:editId="4BBCEE61">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La Présidence</w:t>
                            </w:r>
                          </w:p>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1F2436"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La Présidence</w:t>
                      </w:r>
                    </w:p>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sidRPr="00693F08">
        <w:rPr>
          <w:rFonts w:asciiTheme="majorHAnsi" w:hAnsiTheme="majorHAnsi"/>
          <w:lang w:eastAsia="fr-FR"/>
        </w:rPr>
        <w:tab/>
        <w:t xml:space="preserve">      </w:t>
      </w:r>
    </w:p>
    <w:p w:rsidR="00CE47CE" w:rsidRPr="00693F08" w:rsidRDefault="00CE47CE" w:rsidP="00CE47CE">
      <w:pPr>
        <w:jc w:val="cente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tabs>
          <w:tab w:val="center" w:pos="4533"/>
          <w:tab w:val="left" w:pos="6544"/>
        </w:tabs>
        <w:rPr>
          <w:rFonts w:asciiTheme="majorHAnsi" w:hAnsiTheme="majorHAnsi"/>
          <w:u w:val="single"/>
        </w:rPr>
      </w:pPr>
      <w:r w:rsidRPr="00693F08">
        <w:rPr>
          <w:rFonts w:asciiTheme="majorHAnsi" w:hAnsiTheme="majorHAnsi" w:cs="Arial"/>
          <w:i/>
          <w:noProof/>
          <w:lang w:eastAsia="fr-FR"/>
        </w:rPr>
        <mc:AlternateContent>
          <mc:Choice Requires="wps">
            <w:drawing>
              <wp:anchor distT="4294967295" distB="4294967295" distL="114300" distR="114300" simplePos="0" relativeHeight="251662336" behindDoc="0" locked="0" layoutInCell="1" allowOverlap="1" wp14:anchorId="2A11D303" wp14:editId="08D8D06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91E766"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693F08" w:rsidRDefault="00CE47CE" w:rsidP="00CE47CE">
      <w:pPr>
        <w:tabs>
          <w:tab w:val="left" w:pos="3240"/>
        </w:tabs>
        <w:jc w:val="center"/>
        <w:rPr>
          <w:rFonts w:asciiTheme="majorHAnsi" w:hAnsiTheme="majorHAnsi" w:cs="Arial"/>
          <w:b/>
        </w:rPr>
      </w:pPr>
      <w:r w:rsidRPr="00693F08">
        <w:rPr>
          <w:rFonts w:asciiTheme="majorHAnsi" w:hAnsiTheme="majorHAnsi" w:cs="Arial"/>
          <w:b/>
        </w:rPr>
        <w:t>BUREAU DE LA COMMUNICATION</w:t>
      </w:r>
    </w:p>
    <w:p w:rsidR="00CE47CE" w:rsidRPr="00693F08" w:rsidRDefault="00471C2A" w:rsidP="00CE47CE">
      <w:pPr>
        <w:tabs>
          <w:tab w:val="left" w:pos="3240"/>
        </w:tabs>
        <w:jc w:val="center"/>
        <w:rPr>
          <w:rFonts w:asciiTheme="majorHAnsi" w:hAnsiTheme="majorHAnsi" w:cs="Arial"/>
          <w:b/>
          <w:i/>
        </w:rPr>
      </w:pPr>
      <w:r>
        <w:rPr>
          <w:rFonts w:asciiTheme="majorHAnsi" w:hAnsiTheme="majorHAnsi" w:cs="Arial"/>
          <w:b/>
          <w:i/>
        </w:rPr>
        <w:t xml:space="preserve">Mercredi </w:t>
      </w:r>
      <w:r w:rsidR="00E91879">
        <w:rPr>
          <w:rFonts w:asciiTheme="majorHAnsi" w:hAnsiTheme="majorHAnsi" w:cs="Arial"/>
          <w:b/>
          <w:i/>
        </w:rPr>
        <w:t>22</w:t>
      </w:r>
      <w:r>
        <w:rPr>
          <w:rFonts w:asciiTheme="majorHAnsi" w:hAnsiTheme="majorHAnsi" w:cs="Arial"/>
          <w:b/>
          <w:i/>
        </w:rPr>
        <w:t xml:space="preserve"> juillet</w:t>
      </w:r>
      <w:r w:rsidR="00015FF2" w:rsidRPr="00693F08">
        <w:rPr>
          <w:rFonts w:asciiTheme="majorHAnsi" w:hAnsiTheme="majorHAnsi" w:cs="Arial"/>
          <w:b/>
          <w:i/>
        </w:rPr>
        <w:t xml:space="preserve"> </w:t>
      </w:r>
      <w:r w:rsidR="00087CFE" w:rsidRPr="00693F08">
        <w:rPr>
          <w:rFonts w:asciiTheme="majorHAnsi" w:hAnsiTheme="majorHAnsi" w:cs="Arial"/>
          <w:b/>
          <w:i/>
        </w:rPr>
        <w:t>2020</w:t>
      </w:r>
    </w:p>
    <w:p w:rsidR="00CE47CE" w:rsidRPr="00693F08" w:rsidRDefault="00CE47CE" w:rsidP="00CE47CE">
      <w:pPr>
        <w:tabs>
          <w:tab w:val="left" w:pos="3240"/>
        </w:tabs>
        <w:jc w:val="center"/>
        <w:rPr>
          <w:rFonts w:asciiTheme="majorHAnsi" w:hAnsiTheme="majorHAnsi"/>
        </w:rPr>
      </w:pPr>
      <w:r w:rsidRPr="00693F08">
        <w:rPr>
          <w:rFonts w:asciiTheme="majorHAnsi" w:hAnsiTheme="majorHAnsi" w:cs="Arial"/>
          <w:i/>
          <w:noProof/>
          <w:lang w:eastAsia="fr-FR"/>
        </w:rPr>
        <mc:AlternateContent>
          <mc:Choice Requires="wps">
            <w:drawing>
              <wp:anchor distT="4294967295" distB="4294967295" distL="114300" distR="114300" simplePos="0" relativeHeight="251661312" behindDoc="0" locked="0" layoutInCell="1" allowOverlap="1" wp14:anchorId="00C04070" wp14:editId="6A74B890">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567538"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693F08" w:rsidRDefault="00CE47CE" w:rsidP="00CE47CE">
      <w:pPr>
        <w:tabs>
          <w:tab w:val="left" w:pos="3240"/>
        </w:tabs>
        <w:rPr>
          <w:rFonts w:asciiTheme="majorHAnsi" w:hAnsiTheme="majorHAnsi" w:cs="Arial"/>
          <w:b/>
          <w:i/>
        </w:rPr>
      </w:pPr>
    </w:p>
    <w:p w:rsidR="00CE47CE" w:rsidRPr="00693F08"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Theme="majorHAnsi" w:hAnsiTheme="majorHAnsi"/>
          <w:b/>
        </w:rPr>
      </w:pPr>
      <w:r w:rsidRPr="00693F08">
        <w:rPr>
          <w:rFonts w:asciiTheme="majorHAnsi" w:hAnsiTheme="majorHAnsi"/>
          <w:b/>
        </w:rPr>
        <w:tab/>
        <w:t xml:space="preserve">Compte rendu du Conseil des ministres </w:t>
      </w:r>
    </w:p>
    <w:p w:rsidR="009179FF" w:rsidRDefault="009179FF" w:rsidP="009179FF">
      <w:pPr>
        <w:rPr>
          <w:rFonts w:ascii="Cambria" w:hAnsi="Cambria"/>
        </w:rPr>
      </w:pPr>
    </w:p>
    <w:p w:rsidR="006D3AAC" w:rsidRPr="006A0E0B" w:rsidRDefault="006D3AAC" w:rsidP="006D3AAC">
      <w:pPr>
        <w:spacing w:before="240"/>
        <w:jc w:val="both"/>
        <w:rPr>
          <w:rFonts w:asciiTheme="majorHAnsi" w:eastAsia="Calibri" w:hAnsiTheme="majorHAnsi"/>
          <w:b/>
          <w:lang w:eastAsia="en-US"/>
        </w:rPr>
      </w:pPr>
      <w:r>
        <w:rPr>
          <w:rFonts w:asciiTheme="majorHAnsi" w:eastAsia="Calibri" w:hAnsiTheme="majorHAnsi"/>
          <w:b/>
          <w:lang w:eastAsia="en-US"/>
        </w:rPr>
        <w:t>P</w:t>
      </w:r>
      <w:r w:rsidRPr="006A0E0B">
        <w:rPr>
          <w:rFonts w:asciiTheme="majorHAnsi" w:eastAsia="Calibri" w:hAnsiTheme="majorHAnsi"/>
          <w:b/>
          <w:lang w:eastAsia="en-US"/>
        </w:rPr>
        <w:t xml:space="preserve">rojet de loi de Pays </w:t>
      </w:r>
      <w:r>
        <w:rPr>
          <w:rFonts w:asciiTheme="majorHAnsi" w:eastAsia="Calibri" w:hAnsiTheme="majorHAnsi"/>
          <w:b/>
          <w:lang w:eastAsia="en-US"/>
        </w:rPr>
        <w:t>pour</w:t>
      </w:r>
      <w:r w:rsidRPr="006A0E0B">
        <w:rPr>
          <w:rFonts w:asciiTheme="majorHAnsi" w:eastAsia="Calibri" w:hAnsiTheme="majorHAnsi"/>
          <w:b/>
          <w:lang w:eastAsia="en-US"/>
        </w:rPr>
        <w:t xml:space="preserve"> accompagner les commu</w:t>
      </w:r>
      <w:r>
        <w:rPr>
          <w:rFonts w:asciiTheme="majorHAnsi" w:eastAsia="Calibri" w:hAnsiTheme="majorHAnsi"/>
          <w:b/>
          <w:lang w:eastAsia="en-US"/>
        </w:rPr>
        <w:t>nes en matière d’action sociale</w:t>
      </w:r>
    </w:p>
    <w:p w:rsidR="006D3AAC" w:rsidRPr="00125464" w:rsidRDefault="006D3AAC" w:rsidP="006D3AAC">
      <w:pPr>
        <w:spacing w:before="240"/>
        <w:jc w:val="both"/>
        <w:rPr>
          <w:rFonts w:asciiTheme="majorHAnsi" w:eastAsia="Calibri" w:hAnsiTheme="majorHAnsi"/>
          <w:lang w:eastAsia="en-US"/>
        </w:rPr>
      </w:pPr>
      <w:r w:rsidRPr="00125464">
        <w:rPr>
          <w:rFonts w:asciiTheme="majorHAnsi" w:eastAsia="Calibri" w:hAnsiTheme="majorHAnsi"/>
          <w:lang w:eastAsia="en-US"/>
        </w:rPr>
        <w:t xml:space="preserve">Le </w:t>
      </w:r>
      <w:r>
        <w:rPr>
          <w:rFonts w:asciiTheme="majorHAnsi" w:eastAsia="Calibri" w:hAnsiTheme="majorHAnsi"/>
          <w:lang w:eastAsia="en-US"/>
        </w:rPr>
        <w:t>C</w:t>
      </w:r>
      <w:r w:rsidRPr="00125464">
        <w:rPr>
          <w:rFonts w:asciiTheme="majorHAnsi" w:eastAsia="Calibri" w:hAnsiTheme="majorHAnsi"/>
          <w:lang w:eastAsia="en-US"/>
        </w:rPr>
        <w:t xml:space="preserve">onseil des ministres a adopté un </w:t>
      </w:r>
      <w:bookmarkStart w:id="0" w:name="_Hlk44881131"/>
      <w:r w:rsidRPr="00125464">
        <w:rPr>
          <w:rFonts w:asciiTheme="majorHAnsi" w:eastAsia="Calibri" w:hAnsiTheme="majorHAnsi"/>
          <w:lang w:eastAsia="en-US"/>
        </w:rPr>
        <w:t>projet de loi du Pays tendant à apporter une sécurité juridique à l’égard des actes que les communes, les centres communaux et intercommunaux et les établissements publics de coopération intercommunale ont pu adopter ces derniers mois pour intervenir en matière d’actions sociales, en raison des difficultés économiques et sociales engendrées par la crise sanitaire liée à la propagation du virus dénommé « SARS-CoV-2 » ou « C</w:t>
      </w:r>
      <w:r>
        <w:rPr>
          <w:rFonts w:asciiTheme="majorHAnsi" w:eastAsia="Calibri" w:hAnsiTheme="majorHAnsi"/>
          <w:lang w:eastAsia="en-US"/>
        </w:rPr>
        <w:t>ovid-</w:t>
      </w:r>
      <w:r w:rsidRPr="00125464">
        <w:rPr>
          <w:rFonts w:asciiTheme="majorHAnsi" w:eastAsia="Calibri" w:hAnsiTheme="majorHAnsi"/>
          <w:lang w:eastAsia="en-US"/>
        </w:rPr>
        <w:t>19 ». Ce texte vise par ailleurs à instaurer et à déterminer les conditions de mise en œuvre d’un concours financier de la Polynésie française à ces entités communales, comme mesure d’accompagnement venant du Pays.</w:t>
      </w:r>
    </w:p>
    <w:p w:rsidR="006D3AAC" w:rsidRPr="00125464" w:rsidRDefault="006D3AAC" w:rsidP="006D3AAC">
      <w:pPr>
        <w:spacing w:before="240"/>
        <w:jc w:val="both"/>
        <w:rPr>
          <w:rFonts w:asciiTheme="majorHAnsi" w:eastAsia="Calibri" w:hAnsiTheme="majorHAnsi"/>
          <w:lang w:eastAsia="en-US"/>
        </w:rPr>
      </w:pPr>
      <w:r w:rsidRPr="00125464">
        <w:rPr>
          <w:rFonts w:asciiTheme="majorHAnsi" w:eastAsia="Calibri" w:hAnsiTheme="majorHAnsi"/>
          <w:lang w:eastAsia="en-US"/>
        </w:rPr>
        <w:t>En effet, la mesure de confinement généralisé engagée à partir du 21 mars 2020 et qui s’est achevée le 21 mai 2020 inclus, a conduit à une restriction drastique de l’essentiel des activités économiques. C’est ainsi que de nombreuses familles, voire des familles entières, souvent déjà en difficulté sociale, se sont retrouvées du jour au lendemain, sans activité ni revenu, et donc dans une situation de très grande précarité.</w:t>
      </w:r>
    </w:p>
    <w:p w:rsidR="006D3AAC" w:rsidRPr="00125464" w:rsidRDefault="006D3AAC" w:rsidP="006D3AAC">
      <w:pPr>
        <w:spacing w:before="240"/>
        <w:jc w:val="both"/>
        <w:rPr>
          <w:rFonts w:asciiTheme="majorHAnsi" w:eastAsia="Calibri" w:hAnsiTheme="majorHAnsi"/>
          <w:lang w:eastAsia="en-US"/>
        </w:rPr>
      </w:pPr>
      <w:r w:rsidRPr="00125464">
        <w:rPr>
          <w:rFonts w:asciiTheme="majorHAnsi" w:eastAsia="Calibri" w:hAnsiTheme="majorHAnsi"/>
          <w:lang w:eastAsia="en-US"/>
        </w:rPr>
        <w:t>Cette situation a donné lieu</w:t>
      </w:r>
      <w:r>
        <w:rPr>
          <w:rFonts w:asciiTheme="majorHAnsi" w:eastAsia="Calibri" w:hAnsiTheme="majorHAnsi"/>
          <w:lang w:eastAsia="en-US"/>
        </w:rPr>
        <w:t xml:space="preserve"> </w:t>
      </w:r>
      <w:r w:rsidRPr="00125464">
        <w:rPr>
          <w:rFonts w:asciiTheme="majorHAnsi" w:eastAsia="Calibri" w:hAnsiTheme="majorHAnsi"/>
          <w:lang w:eastAsia="en-US"/>
        </w:rPr>
        <w:t>au déploiement par la Polynésie française d’un ensemble de mesures palliatives de soutien et d’aides tant à l’emploi, qu’économiques ou sociales.</w:t>
      </w:r>
      <w:r>
        <w:rPr>
          <w:rFonts w:asciiTheme="majorHAnsi" w:eastAsia="Calibri" w:hAnsiTheme="majorHAnsi"/>
          <w:lang w:eastAsia="en-US"/>
        </w:rPr>
        <w:t xml:space="preserve"> </w:t>
      </w:r>
      <w:r w:rsidRPr="00125464">
        <w:rPr>
          <w:rFonts w:asciiTheme="majorHAnsi" w:eastAsia="Calibri" w:hAnsiTheme="majorHAnsi"/>
          <w:lang w:eastAsia="en-US"/>
        </w:rPr>
        <w:t>Dans le même temps, compte tenu de l’urgence d’agir, un certain nombre de communes ont décidé d’agir, sans même attendre la mise en place du présent cadre juridique de sécurisation, lequel vient mettre en œuvre les dispositions de l’article 43 de la loi organique statutaire. Elles se sont donc mobilisées afin d’accompagner les mesures prises par l’Etat et le Pays en engageant diverses actions sociales en faveur de leurs administrés.</w:t>
      </w:r>
    </w:p>
    <w:bookmarkEnd w:id="0"/>
    <w:p w:rsidR="006D3AAC" w:rsidRPr="00125464" w:rsidRDefault="006D3AAC" w:rsidP="006D3AAC">
      <w:pPr>
        <w:spacing w:before="240"/>
        <w:jc w:val="both"/>
        <w:rPr>
          <w:rFonts w:asciiTheme="majorHAnsi" w:eastAsia="Calibri" w:hAnsiTheme="majorHAnsi"/>
          <w:lang w:eastAsia="en-US"/>
        </w:rPr>
      </w:pPr>
      <w:r w:rsidRPr="00125464">
        <w:rPr>
          <w:rFonts w:asciiTheme="majorHAnsi" w:eastAsia="Calibri" w:hAnsiTheme="majorHAnsi"/>
          <w:lang w:eastAsia="en-US"/>
        </w:rPr>
        <w:t xml:space="preserve">Ce projet de texte permet, d’une part, de garantir juridiquement les actions sociales (aides alimentaires, équipements de protection sanitaire individuelle et produits sanitaires, transport des personnes, continuité pédagogique auprès des élèves…) qui ont pu être ainsi menées par les communes. Les dispositions s’appliquent sur la période du confinement ci-dessus indiquée. Conformément à une possibilité ouverte par le Conseil d’Etat, il est également conféré au projet de loi du </w:t>
      </w:r>
      <w:r>
        <w:rPr>
          <w:rFonts w:asciiTheme="majorHAnsi" w:eastAsia="Calibri" w:hAnsiTheme="majorHAnsi"/>
          <w:lang w:eastAsia="en-US"/>
        </w:rPr>
        <w:t>P</w:t>
      </w:r>
      <w:r w:rsidRPr="00125464">
        <w:rPr>
          <w:rFonts w:asciiTheme="majorHAnsi" w:eastAsia="Calibri" w:hAnsiTheme="majorHAnsi"/>
          <w:lang w:eastAsia="en-US"/>
        </w:rPr>
        <w:t>ays une portée rétroactive afin de couvrir l’ensemble des actions des communes menées depuis le début de l’état d’urgence sanitaire.</w:t>
      </w:r>
    </w:p>
    <w:p w:rsidR="006D3AAC" w:rsidRPr="00125464" w:rsidRDefault="006D3AAC" w:rsidP="006D3AAC">
      <w:pPr>
        <w:spacing w:before="240"/>
        <w:jc w:val="both"/>
        <w:rPr>
          <w:rFonts w:asciiTheme="majorHAnsi" w:eastAsia="Calibri" w:hAnsiTheme="majorHAnsi"/>
          <w:lang w:eastAsia="en-US"/>
        </w:rPr>
      </w:pPr>
      <w:r w:rsidRPr="00125464">
        <w:rPr>
          <w:rFonts w:asciiTheme="majorHAnsi" w:eastAsia="Calibri" w:hAnsiTheme="majorHAnsi"/>
          <w:lang w:eastAsia="en-US"/>
        </w:rPr>
        <w:t xml:space="preserve">D’autre part, </w:t>
      </w:r>
      <w:r>
        <w:rPr>
          <w:rFonts w:asciiTheme="majorHAnsi" w:eastAsia="Calibri" w:hAnsiTheme="majorHAnsi"/>
          <w:lang w:eastAsia="en-US"/>
        </w:rPr>
        <w:t>ce projet de loi du P</w:t>
      </w:r>
      <w:r w:rsidRPr="00125464">
        <w:rPr>
          <w:rFonts w:asciiTheme="majorHAnsi" w:eastAsia="Calibri" w:hAnsiTheme="majorHAnsi"/>
          <w:lang w:eastAsia="en-US"/>
        </w:rPr>
        <w:t xml:space="preserve">ays instaure une participation de la Polynésie française en soutien à l’effort des communes. Au regard des règles budgétaires et comptables en </w:t>
      </w:r>
      <w:r w:rsidRPr="00125464">
        <w:rPr>
          <w:rFonts w:asciiTheme="majorHAnsi" w:eastAsia="Calibri" w:hAnsiTheme="majorHAnsi"/>
          <w:lang w:eastAsia="en-US"/>
        </w:rPr>
        <w:lastRenderedPageBreak/>
        <w:t xml:space="preserve">vigueur, ce concours financier donnera lieu, sur demande des instances communales, au versement d’une participation limitée à la couverture des dépenses identifiées comme étant éligibles au projet de texte. La participation du Pays est fixée au taux de 40 % et prendra la forme d’un arrêté pris en </w:t>
      </w:r>
      <w:r>
        <w:rPr>
          <w:rFonts w:asciiTheme="majorHAnsi" w:eastAsia="Calibri" w:hAnsiTheme="majorHAnsi"/>
          <w:lang w:eastAsia="en-US"/>
        </w:rPr>
        <w:t>C</w:t>
      </w:r>
      <w:r w:rsidRPr="00125464">
        <w:rPr>
          <w:rFonts w:asciiTheme="majorHAnsi" w:eastAsia="Calibri" w:hAnsiTheme="majorHAnsi"/>
          <w:lang w:eastAsia="en-US"/>
        </w:rPr>
        <w:t xml:space="preserve">onseil des ministres pour chaque commune souhaitant en bénéficier. </w:t>
      </w:r>
    </w:p>
    <w:p w:rsidR="006D3AAC" w:rsidRDefault="006D3AAC" w:rsidP="006D3AAC">
      <w:pPr>
        <w:spacing w:before="240"/>
        <w:jc w:val="both"/>
        <w:rPr>
          <w:rFonts w:asciiTheme="majorHAnsi" w:eastAsia="Calibri" w:hAnsiTheme="majorHAnsi"/>
          <w:lang w:eastAsia="en-US"/>
        </w:rPr>
      </w:pPr>
      <w:r w:rsidRPr="00125464">
        <w:rPr>
          <w:rFonts w:asciiTheme="majorHAnsi" w:eastAsia="Calibri" w:hAnsiTheme="majorHAnsi"/>
          <w:lang w:eastAsia="en-US"/>
        </w:rPr>
        <w:t xml:space="preserve">Soumis préalablement à l’avis du Conseil économique social, environnemental et culturel, lequel a émis un avis favorable en sa séance plénière du 19 juin </w:t>
      </w:r>
      <w:r>
        <w:rPr>
          <w:rFonts w:asciiTheme="majorHAnsi" w:eastAsia="Calibri" w:hAnsiTheme="majorHAnsi"/>
          <w:lang w:eastAsia="en-US"/>
        </w:rPr>
        <w:t>dernier</w:t>
      </w:r>
      <w:r w:rsidRPr="00125464">
        <w:rPr>
          <w:rFonts w:asciiTheme="majorHAnsi" w:eastAsia="Calibri" w:hAnsiTheme="majorHAnsi"/>
          <w:lang w:eastAsia="en-US"/>
        </w:rPr>
        <w:t>, le projet de texte doit désormais être soumis à l’Assemblée de la Polynésie française.</w:t>
      </w:r>
    </w:p>
    <w:p w:rsidR="006D3AAC" w:rsidRDefault="006D3AAC" w:rsidP="0044573A">
      <w:pPr>
        <w:spacing w:after="120"/>
        <w:jc w:val="both"/>
        <w:rPr>
          <w:rFonts w:asciiTheme="majorHAnsi" w:eastAsia="Calibri" w:hAnsiTheme="majorHAnsi"/>
          <w:lang w:eastAsia="en-US"/>
        </w:rPr>
      </w:pPr>
    </w:p>
    <w:p w:rsidR="006D3AAC" w:rsidRDefault="006D3AAC" w:rsidP="0044573A">
      <w:pPr>
        <w:spacing w:after="120"/>
        <w:jc w:val="both"/>
        <w:rPr>
          <w:rFonts w:ascii="Cambria" w:hAnsi="Cambria"/>
          <w:b/>
          <w:bCs/>
        </w:rPr>
      </w:pPr>
    </w:p>
    <w:p w:rsidR="0044573A" w:rsidRDefault="0044573A" w:rsidP="0044573A">
      <w:pPr>
        <w:spacing w:after="120"/>
        <w:jc w:val="both"/>
        <w:rPr>
          <w:rFonts w:ascii="Cambria" w:hAnsi="Cambria"/>
          <w:b/>
          <w:bCs/>
          <w:color w:val="1F497D"/>
        </w:rPr>
      </w:pPr>
      <w:r>
        <w:rPr>
          <w:rFonts w:ascii="Cambria" w:hAnsi="Cambria"/>
          <w:b/>
          <w:bCs/>
        </w:rPr>
        <w:t>Délégation pour le développement des communes : aménagement exceptionnel du calendrier de la session d’août</w:t>
      </w:r>
    </w:p>
    <w:p w:rsidR="0044573A" w:rsidRDefault="0044573A" w:rsidP="0044573A">
      <w:pPr>
        <w:suppressAutoHyphens/>
        <w:spacing w:after="120"/>
        <w:ind w:firstLine="851"/>
        <w:jc w:val="both"/>
      </w:pPr>
    </w:p>
    <w:p w:rsidR="0044573A" w:rsidRPr="0044573A" w:rsidRDefault="0044573A" w:rsidP="0044573A">
      <w:pPr>
        <w:spacing w:after="120"/>
        <w:jc w:val="both"/>
        <w:rPr>
          <w:rFonts w:ascii="Cambria" w:hAnsi="Cambria"/>
          <w:bCs/>
        </w:rPr>
      </w:pPr>
      <w:r w:rsidRPr="0044573A">
        <w:rPr>
          <w:rFonts w:ascii="Cambria" w:hAnsi="Cambria"/>
          <w:bCs/>
        </w:rPr>
        <w:t xml:space="preserve">Le </w:t>
      </w:r>
      <w:r w:rsidR="00733923">
        <w:rPr>
          <w:rFonts w:ascii="Cambria" w:hAnsi="Cambria"/>
          <w:bCs/>
        </w:rPr>
        <w:t>C</w:t>
      </w:r>
      <w:r w:rsidRPr="0044573A">
        <w:rPr>
          <w:rFonts w:ascii="Cambria" w:hAnsi="Cambria"/>
          <w:bCs/>
        </w:rPr>
        <w:t>onseil des ministres a adopté un arrêté relatif à un aménagement exceptionnel des délais inhérents à la session d’août 2020 d’examen des demandes de concours financiers de la Polynésie française par les communes.</w:t>
      </w:r>
    </w:p>
    <w:p w:rsidR="0044573A" w:rsidRPr="0044573A" w:rsidRDefault="0044573A" w:rsidP="0044573A">
      <w:pPr>
        <w:spacing w:after="120"/>
        <w:jc w:val="both"/>
        <w:rPr>
          <w:rFonts w:ascii="Cambria" w:hAnsi="Cambria"/>
          <w:bCs/>
        </w:rPr>
      </w:pPr>
      <w:r w:rsidRPr="0044573A">
        <w:rPr>
          <w:rFonts w:ascii="Cambria" w:hAnsi="Cambria"/>
          <w:bCs/>
        </w:rPr>
        <w:t xml:space="preserve">L’important délai de report entre les deux tours du scrutin du renouvellement général des conseils municipaux, </w:t>
      </w:r>
      <w:r w:rsidR="00733923">
        <w:rPr>
          <w:rFonts w:ascii="Cambria" w:hAnsi="Cambria"/>
          <w:bCs/>
        </w:rPr>
        <w:t>du fait de la gestion de la pandémie</w:t>
      </w:r>
      <w:r w:rsidRPr="0044573A">
        <w:rPr>
          <w:rFonts w:ascii="Cambria" w:hAnsi="Cambria"/>
          <w:bCs/>
        </w:rPr>
        <w:t xml:space="preserve"> du C</w:t>
      </w:r>
      <w:r w:rsidR="00733923">
        <w:rPr>
          <w:rFonts w:ascii="Cambria" w:hAnsi="Cambria"/>
          <w:bCs/>
        </w:rPr>
        <w:t>ovid</w:t>
      </w:r>
      <w:r w:rsidRPr="0044573A">
        <w:rPr>
          <w:rFonts w:ascii="Cambria" w:hAnsi="Cambria"/>
          <w:bCs/>
        </w:rPr>
        <w:t xml:space="preserve"> – 19, </w:t>
      </w:r>
      <w:r w:rsidR="00733923">
        <w:rPr>
          <w:rFonts w:ascii="Cambria" w:hAnsi="Cambria"/>
          <w:bCs/>
        </w:rPr>
        <w:t xml:space="preserve">a </w:t>
      </w:r>
      <w:r w:rsidRPr="0044573A">
        <w:rPr>
          <w:rFonts w:ascii="Cambria" w:hAnsi="Cambria"/>
          <w:bCs/>
        </w:rPr>
        <w:t>conduit des communes à ne pouvoir tenir leur conseil municipal d’installation des nouvelles é</w:t>
      </w:r>
      <w:r w:rsidR="00733923">
        <w:rPr>
          <w:rFonts w:ascii="Cambria" w:hAnsi="Cambria"/>
          <w:bCs/>
        </w:rPr>
        <w:t>quipes et d’élection du maire</w:t>
      </w:r>
      <w:r w:rsidRPr="0044573A">
        <w:rPr>
          <w:rFonts w:ascii="Cambria" w:hAnsi="Cambria"/>
          <w:bCs/>
        </w:rPr>
        <w:t xml:space="preserve"> avant </w:t>
      </w:r>
      <w:r w:rsidR="00733923">
        <w:rPr>
          <w:rFonts w:ascii="Cambria" w:hAnsi="Cambria"/>
          <w:bCs/>
        </w:rPr>
        <w:t xml:space="preserve">la </w:t>
      </w:r>
      <w:r w:rsidRPr="0044573A">
        <w:rPr>
          <w:rFonts w:ascii="Cambria" w:hAnsi="Cambria"/>
          <w:bCs/>
        </w:rPr>
        <w:t xml:space="preserve">mi-juillet. </w:t>
      </w:r>
    </w:p>
    <w:p w:rsidR="0044573A" w:rsidRPr="0044573A" w:rsidRDefault="0044573A" w:rsidP="0044573A">
      <w:pPr>
        <w:spacing w:after="120"/>
        <w:jc w:val="both"/>
        <w:rPr>
          <w:rFonts w:ascii="Cambria" w:hAnsi="Cambria"/>
          <w:bCs/>
        </w:rPr>
      </w:pPr>
      <w:r w:rsidRPr="0044573A">
        <w:rPr>
          <w:rFonts w:ascii="Cambria" w:hAnsi="Cambria"/>
          <w:bCs/>
        </w:rPr>
        <w:t>Dans ce contexte, et pour permettre à toutes les nouvelles équipes concernées de disposer d’un temps supplémentaire, et raisonnable, de préparation de leurs dossiers de demandes de concours financier, il a été acté de prolonger la période de dépôt des dossiers auprès de la Délégation pour le développement des communes jusqu’au 15 septembre 2020.</w:t>
      </w:r>
    </w:p>
    <w:p w:rsidR="0044573A" w:rsidRPr="0044573A" w:rsidRDefault="0044573A" w:rsidP="0044573A">
      <w:pPr>
        <w:spacing w:after="120"/>
        <w:jc w:val="both"/>
        <w:rPr>
          <w:rFonts w:ascii="Cambria" w:hAnsi="Cambria"/>
          <w:bCs/>
        </w:rPr>
      </w:pPr>
      <w:r w:rsidRPr="0044573A">
        <w:rPr>
          <w:rFonts w:ascii="Cambria" w:hAnsi="Cambria"/>
          <w:bCs/>
        </w:rPr>
        <w:t>La session s’ouvrira comme d’habitude, à compter du 1er août prochain.</w:t>
      </w:r>
      <w:r w:rsidR="00733923">
        <w:rPr>
          <w:rFonts w:ascii="Cambria" w:hAnsi="Cambria"/>
          <w:bCs/>
        </w:rPr>
        <w:t xml:space="preserve"> </w:t>
      </w:r>
      <w:r w:rsidRPr="0044573A">
        <w:rPr>
          <w:rFonts w:ascii="Cambria" w:hAnsi="Cambria"/>
          <w:bCs/>
        </w:rPr>
        <w:t xml:space="preserve">L’ensemble du processus d’examen, d’instruction et de programmation doit être prolongé d’autant. Ainsi, l’ensemble des échéances prévues </w:t>
      </w:r>
      <w:r w:rsidR="00733923">
        <w:rPr>
          <w:rFonts w:ascii="Cambria" w:hAnsi="Cambria"/>
          <w:bCs/>
        </w:rPr>
        <w:t>dans</w:t>
      </w:r>
      <w:r w:rsidRPr="0044573A">
        <w:rPr>
          <w:rFonts w:ascii="Cambria" w:hAnsi="Cambria"/>
          <w:bCs/>
        </w:rPr>
        <w:t xml:space="preserve"> l’arrêté </w:t>
      </w:r>
      <w:r w:rsidR="00733923">
        <w:rPr>
          <w:rFonts w:ascii="Cambria" w:hAnsi="Cambria"/>
          <w:bCs/>
        </w:rPr>
        <w:t>du Conseil des ministres</w:t>
      </w:r>
      <w:r w:rsidRPr="0044573A">
        <w:rPr>
          <w:rFonts w:ascii="Cambria" w:hAnsi="Cambria"/>
          <w:bCs/>
        </w:rPr>
        <w:t xml:space="preserve"> du 26 novembre 2010 sont étendues de quinze jours.</w:t>
      </w:r>
      <w:r w:rsidR="00733923">
        <w:rPr>
          <w:rFonts w:ascii="Cambria" w:hAnsi="Cambria"/>
          <w:bCs/>
        </w:rPr>
        <w:t xml:space="preserve"> </w:t>
      </w:r>
      <w:r w:rsidRPr="0044573A">
        <w:rPr>
          <w:rFonts w:ascii="Cambria" w:hAnsi="Cambria"/>
          <w:bCs/>
        </w:rPr>
        <w:t>Ces dispositions sont exceptionnelles et s’appliquent exclusivement à la session d’août 2020.</w:t>
      </w:r>
    </w:p>
    <w:p w:rsidR="0044573A" w:rsidRDefault="0044573A" w:rsidP="00D424C2">
      <w:pPr>
        <w:pStyle w:val="-LettreTexteGEDA"/>
        <w:ind w:firstLine="0"/>
        <w:rPr>
          <w:rFonts w:ascii="Cambria" w:hAnsi="Cambria"/>
          <w:b/>
          <w:bCs/>
          <w:noProof w:val="0"/>
          <w:szCs w:val="24"/>
          <w:lang w:eastAsia="es-ES"/>
        </w:rPr>
      </w:pPr>
    </w:p>
    <w:p w:rsidR="00D424C2" w:rsidRPr="00E73B1A" w:rsidRDefault="00D424C2" w:rsidP="00D424C2">
      <w:pPr>
        <w:pStyle w:val="-LettreTexteGEDA"/>
        <w:ind w:firstLine="0"/>
        <w:rPr>
          <w:rFonts w:asciiTheme="majorHAnsi" w:hAnsiTheme="majorHAnsi"/>
          <w:b/>
          <w:bCs/>
          <w:szCs w:val="24"/>
        </w:rPr>
      </w:pPr>
      <w:r w:rsidRPr="00E73B1A">
        <w:rPr>
          <w:rFonts w:asciiTheme="majorHAnsi" w:hAnsiTheme="majorHAnsi"/>
          <w:b/>
          <w:bCs/>
          <w:szCs w:val="24"/>
        </w:rPr>
        <w:t xml:space="preserve">Etat des lieux </w:t>
      </w:r>
      <w:r w:rsidR="00D43377">
        <w:rPr>
          <w:rFonts w:asciiTheme="majorHAnsi" w:hAnsiTheme="majorHAnsi"/>
          <w:b/>
          <w:bCs/>
          <w:szCs w:val="24"/>
        </w:rPr>
        <w:t>pour</w:t>
      </w:r>
      <w:r w:rsidRPr="00E73B1A">
        <w:rPr>
          <w:rFonts w:asciiTheme="majorHAnsi" w:hAnsiTheme="majorHAnsi"/>
          <w:b/>
          <w:bCs/>
          <w:szCs w:val="24"/>
        </w:rPr>
        <w:t xml:space="preserve"> 9 sociétés et GIE fermés</w:t>
      </w:r>
    </w:p>
    <w:p w:rsidR="00D424C2" w:rsidRDefault="00D424C2" w:rsidP="00D424C2">
      <w:pPr>
        <w:rPr>
          <w:rFonts w:ascii="Cambria" w:hAnsi="Cambria"/>
        </w:rPr>
      </w:pPr>
    </w:p>
    <w:p w:rsidR="00D424C2" w:rsidRDefault="00D424C2" w:rsidP="00D424C2">
      <w:pPr>
        <w:pStyle w:val="-LettreTexteGEDA"/>
        <w:ind w:firstLine="0"/>
        <w:rPr>
          <w:rFonts w:ascii="Cambria" w:hAnsi="Cambria"/>
        </w:rPr>
      </w:pPr>
      <w:r w:rsidRPr="00E73B1A">
        <w:rPr>
          <w:rFonts w:ascii="Cambria" w:hAnsi="Cambria"/>
        </w:rPr>
        <w:t xml:space="preserve">Le Conseil des ministres a pris connaissance de l'état des lieux réalisé par la Direction de la modernisation et des réformes de l’administration (DMRA) sur huit sociétés anonymes et un groupement d’intérêt économique dont la liquidation a été décidée parfois depuis plusieurs années mais dont la personnalité morale subsiste. La Polynésie française ayant des participations dans ces entités, il s’agissait de faire le point sur l'avancement des opérations de liquidation et de prendre les mesures pour que ces situations soient définitivement réglées au plus tôt. </w:t>
      </w:r>
    </w:p>
    <w:p w:rsidR="00733923" w:rsidRDefault="00D424C2" w:rsidP="00D424C2">
      <w:pPr>
        <w:pStyle w:val="-LettreTexteGEDA"/>
        <w:ind w:firstLine="0"/>
        <w:rPr>
          <w:rFonts w:asciiTheme="majorHAnsi" w:hAnsiTheme="majorHAnsi"/>
          <w:szCs w:val="24"/>
        </w:rPr>
      </w:pPr>
      <w:r w:rsidRPr="00FD339F">
        <w:rPr>
          <w:rFonts w:asciiTheme="majorHAnsi" w:hAnsiTheme="majorHAnsi"/>
          <w:szCs w:val="24"/>
        </w:rPr>
        <w:t xml:space="preserve">Au 1er janvier 2020, 25 sociétés ont été recensées en Polynésie, dont 13 sociétés anonymes d’économie mixte, 10 sociétés anonymes et 2 GIE dans lesquelles la Polynésie française participe en tant qu’actionnaire ou membre. Il s’agit pour la plupart d’entités fondées à l’origine par la volonté de la puissance publique et par la faculté dont celle-ci </w:t>
      </w:r>
      <w:r w:rsidRPr="00FD339F">
        <w:rPr>
          <w:rFonts w:asciiTheme="majorHAnsi" w:hAnsiTheme="majorHAnsi"/>
          <w:szCs w:val="24"/>
        </w:rPr>
        <w:lastRenderedPageBreak/>
        <w:t xml:space="preserve">dispose à travers l’article 29 de la loi organique portant statut d’autonomie de la Polynésie française du 27 février 2004. </w:t>
      </w:r>
    </w:p>
    <w:p w:rsidR="00D424C2" w:rsidRDefault="00D424C2" w:rsidP="00D424C2">
      <w:pPr>
        <w:pStyle w:val="-LettreTexteGEDA"/>
        <w:ind w:firstLine="0"/>
        <w:rPr>
          <w:rFonts w:asciiTheme="majorHAnsi" w:hAnsiTheme="majorHAnsi"/>
          <w:szCs w:val="24"/>
        </w:rPr>
      </w:pPr>
      <w:r w:rsidRPr="00FD339F">
        <w:rPr>
          <w:rFonts w:asciiTheme="majorHAnsi" w:hAnsiTheme="majorHAnsi"/>
          <w:szCs w:val="24"/>
        </w:rPr>
        <w:t>Le capital consolidé (hormis les 2 GIE sans capital social) représente 42 287 419 375 Fcfp, dont la Polynésie française détient 42,9%. Utilisés comme des outils de développement économique dans l’exercice des compétences de la Polynésie française, ces entités ont été créées limitativement à des motifs d’intérêt général. Elles interviennent ainsi dans de</w:t>
      </w:r>
      <w:r w:rsidR="000C2A16">
        <w:rPr>
          <w:rFonts w:asciiTheme="majorHAnsi" w:hAnsiTheme="majorHAnsi"/>
          <w:szCs w:val="24"/>
        </w:rPr>
        <w:t>s domaines d’activités variés:</w:t>
      </w:r>
    </w:p>
    <w:p w:rsidR="00D424C2" w:rsidRPr="001308E2" w:rsidRDefault="00D424C2" w:rsidP="001308E2">
      <w:pPr>
        <w:pStyle w:val="-LettreTexteGEDA"/>
        <w:numPr>
          <w:ilvl w:val="0"/>
          <w:numId w:val="25"/>
        </w:numPr>
        <w:tabs>
          <w:tab w:val="left" w:pos="1560"/>
        </w:tabs>
        <w:rPr>
          <w:rFonts w:asciiTheme="majorHAnsi" w:hAnsiTheme="majorHAnsi"/>
          <w:noProof w:val="0"/>
        </w:rPr>
      </w:pPr>
      <w:r w:rsidRPr="001308E2">
        <w:rPr>
          <w:rFonts w:asciiTheme="majorHAnsi" w:hAnsiTheme="majorHAnsi"/>
          <w:noProof w:val="0"/>
        </w:rPr>
        <w:t>7 dans le secteur primaire de l’agriculture, la pêche, l’élevage et la perliculture ;</w:t>
      </w:r>
    </w:p>
    <w:p w:rsidR="00D424C2" w:rsidRPr="001308E2" w:rsidRDefault="00D424C2" w:rsidP="001308E2">
      <w:pPr>
        <w:pStyle w:val="-LettreTexteGEDA"/>
        <w:numPr>
          <w:ilvl w:val="0"/>
          <w:numId w:val="25"/>
        </w:numPr>
        <w:tabs>
          <w:tab w:val="left" w:pos="1560"/>
        </w:tabs>
        <w:rPr>
          <w:rFonts w:asciiTheme="majorHAnsi" w:hAnsiTheme="majorHAnsi"/>
          <w:noProof w:val="0"/>
        </w:rPr>
      </w:pPr>
      <w:r w:rsidRPr="001308E2">
        <w:rPr>
          <w:rFonts w:asciiTheme="majorHAnsi" w:hAnsiTheme="majorHAnsi"/>
          <w:noProof w:val="0"/>
        </w:rPr>
        <w:t>6 dans les transports (dont 3 seules sociétés en activité dans les transports aériens) ;</w:t>
      </w:r>
    </w:p>
    <w:p w:rsidR="00D424C2" w:rsidRPr="001308E2" w:rsidRDefault="00D424C2" w:rsidP="001308E2">
      <w:pPr>
        <w:pStyle w:val="-LettreTexteGEDA"/>
        <w:numPr>
          <w:ilvl w:val="0"/>
          <w:numId w:val="25"/>
        </w:numPr>
        <w:tabs>
          <w:tab w:val="left" w:pos="1560"/>
        </w:tabs>
        <w:rPr>
          <w:rFonts w:asciiTheme="majorHAnsi" w:hAnsiTheme="majorHAnsi"/>
          <w:noProof w:val="0"/>
        </w:rPr>
      </w:pPr>
      <w:r w:rsidRPr="001308E2">
        <w:rPr>
          <w:rFonts w:asciiTheme="majorHAnsi" w:hAnsiTheme="majorHAnsi"/>
          <w:noProof w:val="0"/>
        </w:rPr>
        <w:t>5 dans le secteur de l’énergie ;  </w:t>
      </w:r>
    </w:p>
    <w:p w:rsidR="00D424C2" w:rsidRPr="001308E2" w:rsidRDefault="00D424C2" w:rsidP="001308E2">
      <w:pPr>
        <w:pStyle w:val="-LettreTexteGEDA"/>
        <w:numPr>
          <w:ilvl w:val="0"/>
          <w:numId w:val="25"/>
        </w:numPr>
        <w:tabs>
          <w:tab w:val="left" w:pos="1560"/>
        </w:tabs>
        <w:rPr>
          <w:rFonts w:asciiTheme="majorHAnsi" w:hAnsiTheme="majorHAnsi"/>
          <w:noProof w:val="0"/>
        </w:rPr>
      </w:pPr>
      <w:r w:rsidRPr="001308E2">
        <w:rPr>
          <w:rFonts w:asciiTheme="majorHAnsi" w:hAnsiTheme="majorHAnsi"/>
          <w:noProof w:val="0"/>
        </w:rPr>
        <w:t>2 dans le développement économique ;</w:t>
      </w:r>
    </w:p>
    <w:p w:rsidR="00D424C2" w:rsidRPr="001308E2" w:rsidRDefault="00D424C2" w:rsidP="001308E2">
      <w:pPr>
        <w:pStyle w:val="-LettreTexteGEDA"/>
        <w:numPr>
          <w:ilvl w:val="0"/>
          <w:numId w:val="25"/>
        </w:numPr>
        <w:tabs>
          <w:tab w:val="left" w:pos="1560"/>
        </w:tabs>
        <w:rPr>
          <w:rFonts w:asciiTheme="majorHAnsi" w:hAnsiTheme="majorHAnsi"/>
          <w:noProof w:val="0"/>
        </w:rPr>
      </w:pPr>
      <w:r w:rsidRPr="001308E2">
        <w:rPr>
          <w:rFonts w:asciiTheme="majorHAnsi" w:hAnsiTheme="majorHAnsi"/>
          <w:noProof w:val="0"/>
        </w:rPr>
        <w:t>2 dans l’aménagement du territoire et le logement ;</w:t>
      </w:r>
    </w:p>
    <w:p w:rsidR="00D424C2" w:rsidRPr="001308E2" w:rsidRDefault="00D424C2" w:rsidP="001308E2">
      <w:pPr>
        <w:pStyle w:val="-LettreTexteGEDA"/>
        <w:numPr>
          <w:ilvl w:val="0"/>
          <w:numId w:val="25"/>
        </w:numPr>
        <w:tabs>
          <w:tab w:val="left" w:pos="1560"/>
        </w:tabs>
        <w:rPr>
          <w:rFonts w:asciiTheme="majorHAnsi" w:hAnsiTheme="majorHAnsi"/>
          <w:noProof w:val="0"/>
        </w:rPr>
      </w:pPr>
      <w:r w:rsidRPr="001308E2">
        <w:rPr>
          <w:rFonts w:asciiTheme="majorHAnsi" w:hAnsiTheme="majorHAnsi"/>
          <w:noProof w:val="0"/>
        </w:rPr>
        <w:t>et les 3 autres dans l’environnement, l’audiovisuel, le tourisme.</w:t>
      </w:r>
    </w:p>
    <w:p w:rsidR="00D424C2" w:rsidRPr="00FD339F" w:rsidRDefault="00D424C2" w:rsidP="00D424C2">
      <w:pPr>
        <w:pStyle w:val="Paragraphedeliste"/>
        <w:rPr>
          <w:rFonts w:asciiTheme="majorHAnsi" w:hAnsiTheme="majorHAnsi"/>
          <w:sz w:val="24"/>
          <w:szCs w:val="24"/>
        </w:rPr>
      </w:pPr>
    </w:p>
    <w:p w:rsidR="00D424C2" w:rsidRDefault="00D424C2" w:rsidP="00D424C2">
      <w:pPr>
        <w:pStyle w:val="-LettreTexteGEDA"/>
        <w:ind w:firstLine="0"/>
        <w:rPr>
          <w:rFonts w:asciiTheme="majorHAnsi" w:hAnsiTheme="majorHAnsi"/>
          <w:b/>
          <w:bCs/>
          <w:szCs w:val="24"/>
        </w:rPr>
      </w:pPr>
      <w:r>
        <w:rPr>
          <w:rFonts w:asciiTheme="majorHAnsi" w:hAnsiTheme="majorHAnsi"/>
          <w:b/>
          <w:bCs/>
          <w:szCs w:val="24"/>
        </w:rPr>
        <w:t>N</w:t>
      </w:r>
      <w:r w:rsidRPr="006453D4">
        <w:rPr>
          <w:rFonts w:asciiTheme="majorHAnsi" w:hAnsiTheme="majorHAnsi"/>
          <w:b/>
          <w:bCs/>
          <w:szCs w:val="24"/>
        </w:rPr>
        <w:t>ouvelle version du site Lexpol</w:t>
      </w:r>
    </w:p>
    <w:p w:rsidR="00D424C2" w:rsidRPr="006453D4" w:rsidRDefault="00D424C2" w:rsidP="00D424C2">
      <w:pPr>
        <w:pStyle w:val="-LettreTexteGEDA"/>
        <w:ind w:firstLine="0"/>
        <w:rPr>
          <w:rFonts w:asciiTheme="majorHAnsi" w:hAnsiTheme="majorHAnsi"/>
          <w:b/>
          <w:bCs/>
          <w:szCs w:val="24"/>
        </w:rPr>
      </w:pPr>
    </w:p>
    <w:p w:rsidR="00D424C2" w:rsidRPr="006453D4" w:rsidRDefault="00D424C2" w:rsidP="00D424C2">
      <w:pPr>
        <w:pStyle w:val="-LettreTexteGEDA"/>
        <w:ind w:firstLine="0"/>
        <w:rPr>
          <w:rFonts w:asciiTheme="majorHAnsi" w:hAnsiTheme="majorHAnsi"/>
          <w:noProof w:val="0"/>
          <w:szCs w:val="24"/>
        </w:rPr>
      </w:pPr>
      <w:r w:rsidRPr="006453D4">
        <w:rPr>
          <w:rFonts w:asciiTheme="majorHAnsi" w:hAnsiTheme="majorHAnsi"/>
          <w:noProof w:val="0"/>
          <w:szCs w:val="24"/>
        </w:rPr>
        <w:t xml:space="preserve">Le </w:t>
      </w:r>
      <w:r>
        <w:rPr>
          <w:rFonts w:asciiTheme="majorHAnsi" w:hAnsiTheme="majorHAnsi"/>
          <w:noProof w:val="0"/>
          <w:szCs w:val="24"/>
        </w:rPr>
        <w:t>C</w:t>
      </w:r>
      <w:r w:rsidRPr="006453D4">
        <w:rPr>
          <w:rFonts w:asciiTheme="majorHAnsi" w:hAnsiTheme="majorHAnsi"/>
          <w:noProof w:val="0"/>
          <w:szCs w:val="24"/>
        </w:rPr>
        <w:t xml:space="preserve">onseil des </w:t>
      </w:r>
      <w:r>
        <w:rPr>
          <w:rFonts w:asciiTheme="majorHAnsi" w:hAnsiTheme="majorHAnsi"/>
          <w:noProof w:val="0"/>
          <w:szCs w:val="24"/>
        </w:rPr>
        <w:t>m</w:t>
      </w:r>
      <w:r w:rsidRPr="006453D4">
        <w:rPr>
          <w:rFonts w:asciiTheme="majorHAnsi" w:hAnsiTheme="majorHAnsi"/>
          <w:noProof w:val="0"/>
          <w:szCs w:val="24"/>
        </w:rPr>
        <w:t xml:space="preserve">inistres a pris connaissance d’une communication relative à la nouvelle interface du site public d’accès au droit </w:t>
      </w:r>
      <w:proofErr w:type="spellStart"/>
      <w:r w:rsidRPr="006453D4">
        <w:rPr>
          <w:rFonts w:asciiTheme="majorHAnsi" w:hAnsiTheme="majorHAnsi"/>
          <w:noProof w:val="0"/>
          <w:szCs w:val="24"/>
        </w:rPr>
        <w:t>Lexpol</w:t>
      </w:r>
      <w:proofErr w:type="spellEnd"/>
      <w:r w:rsidRPr="006453D4">
        <w:rPr>
          <w:rFonts w:asciiTheme="majorHAnsi" w:hAnsiTheme="majorHAnsi"/>
          <w:noProof w:val="0"/>
          <w:szCs w:val="24"/>
        </w:rPr>
        <w:t>.</w:t>
      </w:r>
      <w:r>
        <w:rPr>
          <w:rFonts w:asciiTheme="majorHAnsi" w:hAnsiTheme="majorHAnsi"/>
          <w:noProof w:val="0"/>
          <w:szCs w:val="24"/>
        </w:rPr>
        <w:t xml:space="preserve"> </w:t>
      </w:r>
      <w:r w:rsidRPr="006453D4">
        <w:rPr>
          <w:rFonts w:asciiTheme="majorHAnsi" w:hAnsiTheme="majorHAnsi"/>
          <w:noProof w:val="0"/>
          <w:szCs w:val="24"/>
        </w:rPr>
        <w:t xml:space="preserve">Ouvert en 2008, le site </w:t>
      </w:r>
      <w:proofErr w:type="spellStart"/>
      <w:r w:rsidRPr="006453D4">
        <w:rPr>
          <w:rFonts w:asciiTheme="majorHAnsi" w:hAnsiTheme="majorHAnsi"/>
          <w:noProof w:val="0"/>
          <w:szCs w:val="24"/>
        </w:rPr>
        <w:t>Lexpol</w:t>
      </w:r>
      <w:proofErr w:type="spellEnd"/>
      <w:r w:rsidRPr="006453D4">
        <w:rPr>
          <w:rFonts w:asciiTheme="majorHAnsi" w:hAnsiTheme="majorHAnsi"/>
          <w:noProof w:val="0"/>
          <w:szCs w:val="24"/>
        </w:rPr>
        <w:t xml:space="preserve"> a régulièrement évolué, dans son contenu comme dans sa présentation. </w:t>
      </w:r>
      <w:r w:rsidR="00733923">
        <w:rPr>
          <w:rFonts w:asciiTheme="majorHAnsi" w:hAnsiTheme="majorHAnsi"/>
          <w:noProof w:val="0"/>
          <w:szCs w:val="24"/>
        </w:rPr>
        <w:t>Le</w:t>
      </w:r>
      <w:r w:rsidRPr="006453D4">
        <w:rPr>
          <w:rFonts w:asciiTheme="majorHAnsi" w:hAnsiTheme="majorHAnsi"/>
          <w:noProof w:val="0"/>
          <w:szCs w:val="24"/>
        </w:rPr>
        <w:t xml:space="preserve"> site </w:t>
      </w:r>
      <w:proofErr w:type="spellStart"/>
      <w:r w:rsidRPr="006453D4">
        <w:rPr>
          <w:rFonts w:asciiTheme="majorHAnsi" w:hAnsiTheme="majorHAnsi"/>
          <w:noProof w:val="0"/>
          <w:szCs w:val="24"/>
        </w:rPr>
        <w:t>Lexpol</w:t>
      </w:r>
      <w:proofErr w:type="spellEnd"/>
      <w:r w:rsidRPr="006453D4">
        <w:rPr>
          <w:rFonts w:asciiTheme="majorHAnsi" w:hAnsiTheme="majorHAnsi"/>
          <w:noProof w:val="0"/>
          <w:szCs w:val="24"/>
        </w:rPr>
        <w:t xml:space="preserve"> donne accès à toute l’information juridique du Pays, aux annonces judiciaires et légales et aux col</w:t>
      </w:r>
      <w:r w:rsidR="00733923">
        <w:rPr>
          <w:rFonts w:asciiTheme="majorHAnsi" w:hAnsiTheme="majorHAnsi"/>
          <w:noProof w:val="0"/>
          <w:szCs w:val="24"/>
        </w:rPr>
        <w:t>lections du Journal officiel. I</w:t>
      </w:r>
      <w:r w:rsidRPr="006453D4">
        <w:rPr>
          <w:rFonts w:asciiTheme="majorHAnsi" w:hAnsiTheme="majorHAnsi"/>
          <w:noProof w:val="0"/>
          <w:szCs w:val="24"/>
        </w:rPr>
        <w:t xml:space="preserve">l offre également des outils numériques aux agents publics (formulaires de marché public, </w:t>
      </w:r>
      <w:proofErr w:type="spellStart"/>
      <w:r w:rsidRPr="006453D4">
        <w:rPr>
          <w:rFonts w:asciiTheme="majorHAnsi" w:hAnsiTheme="majorHAnsi"/>
          <w:noProof w:val="0"/>
          <w:szCs w:val="24"/>
        </w:rPr>
        <w:t>téléservices</w:t>
      </w:r>
      <w:proofErr w:type="spellEnd"/>
      <w:r w:rsidRPr="006453D4">
        <w:rPr>
          <w:rFonts w:asciiTheme="majorHAnsi" w:hAnsiTheme="majorHAnsi"/>
          <w:noProof w:val="0"/>
          <w:szCs w:val="24"/>
        </w:rPr>
        <w:t xml:space="preserve"> de publication au JOPF, réd</w:t>
      </w:r>
      <w:r>
        <w:rPr>
          <w:rFonts w:asciiTheme="majorHAnsi" w:hAnsiTheme="majorHAnsi"/>
          <w:noProof w:val="0"/>
          <w:szCs w:val="24"/>
        </w:rPr>
        <w:t xml:space="preserve">action d’actes administratifs, </w:t>
      </w:r>
      <w:proofErr w:type="spellStart"/>
      <w:r>
        <w:rPr>
          <w:rFonts w:asciiTheme="majorHAnsi" w:hAnsiTheme="majorHAnsi"/>
          <w:noProof w:val="0"/>
          <w:szCs w:val="24"/>
        </w:rPr>
        <w:t>etc</w:t>
      </w:r>
      <w:proofErr w:type="spellEnd"/>
      <w:r w:rsidRPr="006453D4">
        <w:rPr>
          <w:rFonts w:asciiTheme="majorHAnsi" w:hAnsiTheme="majorHAnsi"/>
          <w:noProof w:val="0"/>
          <w:szCs w:val="24"/>
        </w:rPr>
        <w:t xml:space="preserve">). </w:t>
      </w:r>
    </w:p>
    <w:p w:rsidR="00D424C2" w:rsidRPr="006453D4" w:rsidRDefault="00D424C2" w:rsidP="00D424C2">
      <w:pPr>
        <w:pStyle w:val="-LettreTexteGEDA"/>
        <w:ind w:firstLine="0"/>
        <w:rPr>
          <w:rFonts w:asciiTheme="majorHAnsi" w:hAnsiTheme="majorHAnsi"/>
          <w:noProof w:val="0"/>
          <w:szCs w:val="24"/>
        </w:rPr>
      </w:pPr>
      <w:r w:rsidRPr="006453D4">
        <w:rPr>
          <w:rFonts w:asciiTheme="majorHAnsi" w:hAnsiTheme="majorHAnsi"/>
          <w:noProof w:val="0"/>
          <w:szCs w:val="24"/>
        </w:rPr>
        <w:t>Le site accueille 555 000 visiteurs par an, pour 5 134 514 pages lues. 80% des visiteurs sont en Polynésie Française (pour environ 4 millions de pages lues) et 8% en métropole (pour environ 400.000 pages lues).</w:t>
      </w:r>
    </w:p>
    <w:p w:rsidR="00D424C2" w:rsidRPr="006453D4" w:rsidRDefault="00D424C2" w:rsidP="00D424C2">
      <w:pPr>
        <w:pStyle w:val="-LettreTexteGEDA"/>
        <w:ind w:firstLine="0"/>
        <w:rPr>
          <w:rFonts w:asciiTheme="majorHAnsi" w:hAnsiTheme="majorHAnsi"/>
          <w:noProof w:val="0"/>
          <w:szCs w:val="24"/>
        </w:rPr>
      </w:pPr>
      <w:r w:rsidRPr="006453D4">
        <w:rPr>
          <w:rFonts w:asciiTheme="majorHAnsi" w:hAnsiTheme="majorHAnsi"/>
          <w:noProof w:val="0"/>
          <w:szCs w:val="24"/>
        </w:rPr>
        <w:t xml:space="preserve">Pour les utilisateurs, </w:t>
      </w:r>
      <w:proofErr w:type="spellStart"/>
      <w:r w:rsidRPr="006453D4">
        <w:rPr>
          <w:rFonts w:asciiTheme="majorHAnsi" w:hAnsiTheme="majorHAnsi"/>
          <w:noProof w:val="0"/>
          <w:szCs w:val="24"/>
        </w:rPr>
        <w:t>Lexpol</w:t>
      </w:r>
      <w:proofErr w:type="spellEnd"/>
      <w:r w:rsidRPr="006453D4">
        <w:rPr>
          <w:rFonts w:asciiTheme="majorHAnsi" w:hAnsiTheme="majorHAnsi"/>
          <w:noProof w:val="0"/>
          <w:szCs w:val="24"/>
        </w:rPr>
        <w:t xml:space="preserve"> est avant tout un site de recherche d’informations officielles. Les recherches les plus courantes portant sur la fiscalité (+ 6.000 recherches par an), l’administration (+ 4.700), les aides et subventions (+4.400), des textes précis (+4.000), les communes, la fonction publique, les services publics, les codes, les activités réglementées, le budget, les concours de la fonction publique, la retraite et les indemnités en droit du travail.</w:t>
      </w:r>
    </w:p>
    <w:p w:rsidR="00D424C2" w:rsidRPr="00D424C2" w:rsidRDefault="00D424C2" w:rsidP="00D424C2">
      <w:pPr>
        <w:pStyle w:val="-LettreTexteGEDA"/>
        <w:ind w:firstLine="0"/>
        <w:rPr>
          <w:rFonts w:asciiTheme="majorHAnsi" w:hAnsiTheme="majorHAnsi"/>
          <w:noProof w:val="0"/>
          <w:color w:val="FF0000"/>
          <w:szCs w:val="24"/>
        </w:rPr>
      </w:pPr>
      <w:r w:rsidRPr="006453D4">
        <w:rPr>
          <w:rFonts w:asciiTheme="majorHAnsi" w:hAnsiTheme="majorHAnsi"/>
          <w:noProof w:val="0"/>
          <w:szCs w:val="24"/>
        </w:rPr>
        <w:t>L’analyse de ces différentes données a conduit, d’une part, à multiplier les canaux d’information sur le site et, d’autre part, à optimiser la recherche sur toutes les pages du site. De plus, pour permettre une meilleure compréhension du droit polynésien, des bulles d’information rappellent la répartition des compétences entre le Pays, l’Etat et les communes.</w:t>
      </w:r>
      <w:r>
        <w:rPr>
          <w:rFonts w:asciiTheme="majorHAnsi" w:hAnsiTheme="majorHAnsi"/>
          <w:noProof w:val="0"/>
          <w:color w:val="FF0000"/>
          <w:szCs w:val="24"/>
        </w:rPr>
        <w:t xml:space="preserve"> </w:t>
      </w:r>
      <w:r w:rsidRPr="006453D4">
        <w:rPr>
          <w:rFonts w:asciiTheme="majorHAnsi" w:hAnsiTheme="majorHAnsi"/>
          <w:noProof w:val="0"/>
          <w:szCs w:val="24"/>
        </w:rPr>
        <w:t xml:space="preserve">Enfin, l’accès à l’information financière a été accru : le site donne désormais accès à tous les actes, débats et rapports sur le vote du budget du Pays et son exécution. </w:t>
      </w:r>
    </w:p>
    <w:p w:rsidR="0044573A" w:rsidRDefault="0044573A" w:rsidP="008D409F">
      <w:pPr>
        <w:pStyle w:val="-LettreTexteGEDA"/>
        <w:ind w:firstLine="0"/>
        <w:rPr>
          <w:rFonts w:asciiTheme="majorHAnsi" w:hAnsiTheme="majorHAnsi"/>
          <w:b/>
          <w:bCs/>
          <w:szCs w:val="24"/>
        </w:rPr>
      </w:pPr>
    </w:p>
    <w:p w:rsidR="000C2A16" w:rsidRPr="000C2A16" w:rsidRDefault="000C2A16" w:rsidP="000C2A16">
      <w:pPr>
        <w:pStyle w:val="-LettreTexteGEDA"/>
        <w:spacing w:before="0"/>
        <w:ind w:firstLine="0"/>
        <w:rPr>
          <w:rFonts w:ascii="Cambria" w:hAnsi="Cambria"/>
          <w:szCs w:val="24"/>
        </w:rPr>
      </w:pPr>
      <w:r w:rsidRPr="000C2A16">
        <w:rPr>
          <w:rFonts w:ascii="Cambria" w:hAnsi="Cambria"/>
          <w:b/>
          <w:noProof w:val="0"/>
          <w:szCs w:val="24"/>
        </w:rPr>
        <w:t>Projet de code de déontologie des experts-comptables de la Polynésie française</w:t>
      </w:r>
    </w:p>
    <w:p w:rsidR="000C2A16" w:rsidRPr="000C2A16" w:rsidRDefault="000C2A16" w:rsidP="000C2A16">
      <w:pPr>
        <w:pStyle w:val="-LettreTexteGEDA"/>
        <w:spacing w:before="0"/>
        <w:ind w:firstLine="0"/>
        <w:rPr>
          <w:rFonts w:ascii="Cambria" w:hAnsi="Cambria"/>
          <w:szCs w:val="24"/>
        </w:rPr>
      </w:pPr>
    </w:p>
    <w:p w:rsidR="000C2A16" w:rsidRPr="000C2A16" w:rsidRDefault="000C2A16" w:rsidP="000C2A16">
      <w:pPr>
        <w:pStyle w:val="-LettreTexteGEDA"/>
        <w:spacing w:after="240"/>
        <w:ind w:firstLine="0"/>
        <w:rPr>
          <w:rFonts w:ascii="Cambria" w:hAnsi="Cambria"/>
          <w:noProof w:val="0"/>
          <w:szCs w:val="24"/>
        </w:rPr>
      </w:pPr>
      <w:r w:rsidRPr="000C2A16">
        <w:rPr>
          <w:rFonts w:ascii="Cambria" w:hAnsi="Cambria"/>
          <w:noProof w:val="0"/>
          <w:szCs w:val="24"/>
        </w:rPr>
        <w:t>La Polynésie française compte 24 sociétés d’expertise comptable et 36 experts-comptables</w:t>
      </w:r>
      <w:r w:rsidRPr="000C2A16">
        <w:rPr>
          <w:rFonts w:ascii="Cambria" w:hAnsi="Cambria"/>
          <w:szCs w:val="24"/>
        </w:rPr>
        <w:t>.</w:t>
      </w:r>
      <w:r w:rsidRPr="000C2A16">
        <w:rPr>
          <w:rFonts w:ascii="Cambria" w:hAnsi="Cambria"/>
          <w:noProof w:val="0"/>
          <w:szCs w:val="24"/>
        </w:rPr>
        <w:t xml:space="preserve"> Ces professionnels jouent un rôle fondamental et essentiel dans le fonctionnement et la gestion des entreprises polynésiennes, notamment pour la tenue précise et rigoureuse de leur comptabilité.</w:t>
      </w:r>
    </w:p>
    <w:p w:rsidR="000C2A16" w:rsidRPr="000C2A16" w:rsidRDefault="000C2A16" w:rsidP="000C2A16">
      <w:pPr>
        <w:pStyle w:val="-LettreTexteGEDA"/>
        <w:spacing w:after="240"/>
        <w:ind w:firstLine="0"/>
        <w:rPr>
          <w:rFonts w:ascii="Cambria" w:hAnsi="Cambria"/>
          <w:szCs w:val="24"/>
        </w:rPr>
      </w:pPr>
      <w:r w:rsidRPr="000C2A16">
        <w:rPr>
          <w:rFonts w:ascii="Cambria" w:hAnsi="Cambria"/>
          <w:noProof w:val="0"/>
          <w:szCs w:val="24"/>
        </w:rPr>
        <w:t>Afin de fiabiliser l’information comptable et financière et de profess</w:t>
      </w:r>
      <w:r w:rsidRPr="000C2A16">
        <w:rPr>
          <w:rFonts w:ascii="Cambria" w:hAnsi="Cambria"/>
          <w:szCs w:val="24"/>
        </w:rPr>
        <w:t xml:space="preserve">ionnaliser l’activité comptable au Fenua, le Conseil des </w:t>
      </w:r>
      <w:r>
        <w:rPr>
          <w:rFonts w:ascii="Cambria" w:hAnsi="Cambria"/>
          <w:szCs w:val="24"/>
        </w:rPr>
        <w:t>m</w:t>
      </w:r>
      <w:r w:rsidRPr="000C2A16">
        <w:rPr>
          <w:rFonts w:ascii="Cambria" w:hAnsi="Cambria"/>
          <w:szCs w:val="24"/>
        </w:rPr>
        <w:t xml:space="preserve">inistres a approuvé le projet de </w:t>
      </w:r>
      <w:r w:rsidRPr="000C2A16">
        <w:rPr>
          <w:rFonts w:ascii="Cambria" w:hAnsi="Cambria"/>
          <w:noProof w:val="0"/>
          <w:szCs w:val="24"/>
        </w:rPr>
        <w:t>code de déontologie des experts-comptables</w:t>
      </w:r>
      <w:r w:rsidRPr="000C2A16">
        <w:rPr>
          <w:rFonts w:ascii="Cambria" w:hAnsi="Cambria"/>
          <w:szCs w:val="24"/>
        </w:rPr>
        <w:t xml:space="preserve"> qui sera soumis prochainement à l’approbation des représentants de l’Assemblée de la Polynésie française.</w:t>
      </w:r>
    </w:p>
    <w:p w:rsidR="000C2A16" w:rsidRPr="000C2A16" w:rsidRDefault="000C2A16" w:rsidP="000C2A16">
      <w:pPr>
        <w:pStyle w:val="-LettreTexteGEDA"/>
        <w:spacing w:after="240"/>
        <w:ind w:firstLine="0"/>
        <w:rPr>
          <w:rFonts w:ascii="Cambria" w:hAnsi="Cambria"/>
          <w:noProof w:val="0"/>
          <w:szCs w:val="24"/>
        </w:rPr>
      </w:pPr>
      <w:r w:rsidRPr="000C2A16">
        <w:rPr>
          <w:rFonts w:ascii="Cambria" w:hAnsi="Cambria"/>
          <w:szCs w:val="24"/>
        </w:rPr>
        <w:t>Ce projet présente les devoirs généraux des experts-comptables dont la nécessité d’</w:t>
      </w:r>
      <w:r w:rsidRPr="000C2A16">
        <w:rPr>
          <w:rFonts w:ascii="Cambria" w:hAnsi="Cambria"/>
          <w:noProof w:val="0"/>
          <w:szCs w:val="24"/>
        </w:rPr>
        <w:t>exercer leur activité avec compétence, conscience professionnelle et indépendance d’esprit, mais aussi les devoirs envers leurs clients puisqu’ils sont tenus à un devoir d’information, de conseil</w:t>
      </w:r>
      <w:r>
        <w:rPr>
          <w:rFonts w:ascii="Cambria" w:hAnsi="Cambria"/>
          <w:noProof w:val="0"/>
          <w:szCs w:val="24"/>
        </w:rPr>
        <w:t>,</w:t>
      </w:r>
      <w:r w:rsidRPr="000C2A16">
        <w:rPr>
          <w:rFonts w:ascii="Cambria" w:hAnsi="Cambria"/>
          <w:noProof w:val="0"/>
          <w:szCs w:val="24"/>
        </w:rPr>
        <w:t xml:space="preserve"> et d’exercer leur mission jusqu’à son terme. Ce projet régit également les questions d’honoraires et de litiges ainsi que les devoirs des </w:t>
      </w:r>
      <w:r w:rsidRPr="000C2A16">
        <w:rPr>
          <w:rFonts w:ascii="Cambria" w:hAnsi="Cambria"/>
          <w:szCs w:val="24"/>
        </w:rPr>
        <w:t>experts-comptables envers leur Ordre.</w:t>
      </w:r>
    </w:p>
    <w:p w:rsidR="000C2A16" w:rsidRDefault="000C2A16" w:rsidP="008D409F">
      <w:pPr>
        <w:pStyle w:val="-LettreTexteGEDA"/>
        <w:ind w:firstLine="0"/>
        <w:rPr>
          <w:rFonts w:asciiTheme="majorHAnsi" w:hAnsiTheme="majorHAnsi"/>
          <w:b/>
          <w:bCs/>
          <w:szCs w:val="24"/>
        </w:rPr>
      </w:pPr>
    </w:p>
    <w:p w:rsidR="006D3AAC" w:rsidRPr="00C67D17" w:rsidRDefault="006D3AAC" w:rsidP="006D3AAC">
      <w:pPr>
        <w:pStyle w:val="-LettreTexteGEDA"/>
        <w:ind w:firstLine="0"/>
        <w:rPr>
          <w:rFonts w:ascii="Cambria" w:hAnsi="Cambria"/>
        </w:rPr>
      </w:pPr>
      <w:r w:rsidRPr="00C67D17">
        <w:rPr>
          <w:rFonts w:ascii="Cambria" w:hAnsi="Cambria"/>
          <w:b/>
          <w:bCs/>
          <w:szCs w:val="24"/>
        </w:rPr>
        <w:t xml:space="preserve">Projet de délibération fixant les conditions d’octroi de la licence d’exploitation dans le secteur du </w:t>
      </w:r>
      <w:r>
        <w:rPr>
          <w:rFonts w:ascii="Cambria" w:hAnsi="Cambria"/>
          <w:b/>
          <w:bCs/>
          <w:szCs w:val="24"/>
        </w:rPr>
        <w:t>transport aérien interinsulaire</w:t>
      </w:r>
    </w:p>
    <w:p w:rsidR="006D3AAC" w:rsidRDefault="006D3AAC" w:rsidP="006D3AAC">
      <w:pPr>
        <w:pStyle w:val="-LettreTexteGEDA"/>
        <w:ind w:firstLine="0"/>
        <w:rPr>
          <w:rFonts w:cs="Arial"/>
          <w:noProof w:val="0"/>
          <w:lang w:eastAsia="en-US"/>
        </w:rPr>
      </w:pPr>
    </w:p>
    <w:p w:rsidR="006D3AAC" w:rsidRPr="00C67D17" w:rsidRDefault="006D3AAC" w:rsidP="006D3AAC">
      <w:pPr>
        <w:pStyle w:val="-LettreTexteGEDA"/>
        <w:ind w:firstLine="0"/>
        <w:rPr>
          <w:rFonts w:ascii="Cambria" w:hAnsi="Cambria"/>
        </w:rPr>
      </w:pPr>
      <w:r w:rsidRPr="00C67D17">
        <w:rPr>
          <w:rFonts w:ascii="Cambria" w:hAnsi="Cambria"/>
        </w:rPr>
        <w:t>Le Conseil des ministres, sur présentation du rapport</w:t>
      </w:r>
      <w:r>
        <w:rPr>
          <w:rFonts w:ascii="Cambria" w:hAnsi="Cambria"/>
        </w:rPr>
        <w:t xml:space="preserve"> par le ministre en charge des T</w:t>
      </w:r>
      <w:r w:rsidRPr="00C67D17">
        <w:rPr>
          <w:rFonts w:ascii="Cambria" w:hAnsi="Cambria"/>
        </w:rPr>
        <w:t xml:space="preserve">ransports interinsulaires, a approuvé le projet de délibération qui a pour objet de mettre en œuvre les dispositions de la loi du </w:t>
      </w:r>
      <w:r>
        <w:rPr>
          <w:rFonts w:ascii="Cambria" w:hAnsi="Cambria"/>
        </w:rPr>
        <w:t>P</w:t>
      </w:r>
      <w:r w:rsidRPr="00C67D17">
        <w:rPr>
          <w:rFonts w:ascii="Cambria" w:hAnsi="Cambria"/>
        </w:rPr>
        <w:t>ays du 25 février 2016 relatives aux conditions d’exploitation de l'activité de transporteur dans le secteur aérien public interinsulaire.</w:t>
      </w:r>
    </w:p>
    <w:p w:rsidR="006D3AAC" w:rsidRPr="00C67D17" w:rsidRDefault="006D3AAC" w:rsidP="006D3AAC">
      <w:pPr>
        <w:pStyle w:val="-LettreTexteGEDA"/>
        <w:ind w:firstLine="0"/>
        <w:rPr>
          <w:rFonts w:ascii="Cambria" w:hAnsi="Cambria"/>
        </w:rPr>
      </w:pPr>
      <w:r w:rsidRPr="00C67D17">
        <w:rPr>
          <w:rFonts w:ascii="Cambria" w:hAnsi="Cambria"/>
        </w:rPr>
        <w:t>Ce texte vient donc compléter la réglementation actuelle du transport aérien issue de la délibération du 22 juillet 1999, pour ce qui concerne le transport aérien public interinsulaire.</w:t>
      </w:r>
      <w:r>
        <w:rPr>
          <w:rFonts w:ascii="Cambria" w:hAnsi="Cambria"/>
        </w:rPr>
        <w:t xml:space="preserve"> </w:t>
      </w:r>
      <w:r w:rsidRPr="00C67D17">
        <w:rPr>
          <w:rFonts w:ascii="Cambria" w:hAnsi="Cambria"/>
        </w:rPr>
        <w:t>Ce projet de délibération vient moderniser le schéma d’organisation de la desserte aérienne interinsulaire et appliquer l’ouverture du ciel en définissant les critères classant les aérodromes en desserte de libre concurrence et ceux soumis à une obligation de service publique (OSP).</w:t>
      </w:r>
    </w:p>
    <w:p w:rsidR="006D3AAC" w:rsidRPr="00C67D17" w:rsidRDefault="006D3AAC" w:rsidP="006D3AAC">
      <w:pPr>
        <w:pStyle w:val="-LettreTexteGEDA"/>
        <w:ind w:firstLine="0"/>
        <w:rPr>
          <w:rFonts w:ascii="Cambria" w:hAnsi="Cambria"/>
        </w:rPr>
      </w:pPr>
      <w:r w:rsidRPr="00C67D17">
        <w:rPr>
          <w:rFonts w:ascii="Cambria" w:hAnsi="Cambria"/>
        </w:rPr>
        <w:t>Il est retenu deux catégories d’aérodromes selon les critères définis:</w:t>
      </w:r>
    </w:p>
    <w:p w:rsidR="006D3AAC" w:rsidRPr="00C67D17" w:rsidRDefault="006D3AAC" w:rsidP="006D3AAC">
      <w:pPr>
        <w:pStyle w:val="-LettreTexteGEDA"/>
        <w:numPr>
          <w:ilvl w:val="0"/>
          <w:numId w:val="25"/>
        </w:numPr>
        <w:tabs>
          <w:tab w:val="left" w:pos="1560"/>
        </w:tabs>
        <w:rPr>
          <w:rFonts w:asciiTheme="majorHAnsi" w:hAnsiTheme="majorHAnsi"/>
          <w:noProof w:val="0"/>
        </w:rPr>
      </w:pPr>
      <w:r w:rsidRPr="00C67D17">
        <w:rPr>
          <w:rFonts w:asciiTheme="majorHAnsi" w:hAnsiTheme="majorHAnsi"/>
          <w:noProof w:val="0"/>
        </w:rPr>
        <w:t>Les aérodromes de libre concurrence qui sont au nombre de 12 ;</w:t>
      </w:r>
    </w:p>
    <w:p w:rsidR="006D3AAC" w:rsidRPr="00DF1D18" w:rsidRDefault="006D3AAC" w:rsidP="006D3AAC">
      <w:pPr>
        <w:pStyle w:val="-LettreTexteGEDA"/>
        <w:numPr>
          <w:ilvl w:val="0"/>
          <w:numId w:val="25"/>
        </w:numPr>
        <w:tabs>
          <w:tab w:val="left" w:pos="1560"/>
        </w:tabs>
        <w:rPr>
          <w:rFonts w:asciiTheme="majorHAnsi" w:hAnsiTheme="majorHAnsi"/>
          <w:noProof w:val="0"/>
        </w:rPr>
      </w:pPr>
      <w:r w:rsidRPr="00C67D17">
        <w:rPr>
          <w:rFonts w:asciiTheme="majorHAnsi" w:hAnsiTheme="majorHAnsi"/>
          <w:noProof w:val="0"/>
        </w:rPr>
        <w:t>Les aérodromes de désenclavement dans le cadre d’une obligation de service public (OSP) qui sont au nombre de 34.</w:t>
      </w:r>
    </w:p>
    <w:p w:rsidR="006D3AAC" w:rsidRDefault="006D3AAC" w:rsidP="006D3AAC">
      <w:pPr>
        <w:pStyle w:val="-LettreTexteGEDA"/>
        <w:ind w:firstLine="0"/>
        <w:rPr>
          <w:rFonts w:ascii="Cambria" w:hAnsi="Cambria"/>
        </w:rPr>
      </w:pPr>
      <w:r w:rsidRPr="00C67D17">
        <w:rPr>
          <w:rFonts w:ascii="Cambria" w:hAnsi="Cambria"/>
        </w:rPr>
        <w:t xml:space="preserve">La desserte aérienne des aérodromes sous obligation de service public peut faire l’objet d’une concession exclusive après une procédure d’appel d’offres en délégation de service public (DSP) et être accompagnée d’une compensation financière par le Pays selon un cahier des charges arrêté en </w:t>
      </w:r>
      <w:r>
        <w:rPr>
          <w:rFonts w:ascii="Cambria" w:hAnsi="Cambria"/>
        </w:rPr>
        <w:t>C</w:t>
      </w:r>
      <w:r w:rsidRPr="00C67D17">
        <w:rPr>
          <w:rFonts w:ascii="Cambria" w:hAnsi="Cambria"/>
        </w:rPr>
        <w:t>onseil des ministres.</w:t>
      </w:r>
    </w:p>
    <w:p w:rsidR="006D3AAC" w:rsidRDefault="006D3AAC" w:rsidP="006D3AAC">
      <w:pPr>
        <w:pStyle w:val="-LettreTexteGEDA"/>
        <w:ind w:firstLine="0"/>
        <w:rPr>
          <w:rFonts w:ascii="Cambria" w:hAnsi="Cambria"/>
        </w:rPr>
      </w:pPr>
    </w:p>
    <w:p w:rsidR="0041338C" w:rsidRDefault="0041338C" w:rsidP="0041338C">
      <w:pPr>
        <w:pStyle w:val="-LettreObjetGEDA"/>
        <w:ind w:left="0" w:firstLine="0"/>
        <w:rPr>
          <w:rFonts w:ascii="Cambria" w:hAnsi="Cambria"/>
          <w:b/>
          <w:bCs/>
          <w:szCs w:val="24"/>
        </w:rPr>
      </w:pPr>
      <w:r>
        <w:rPr>
          <w:rFonts w:ascii="Cambria" w:hAnsi="Cambria"/>
          <w:b/>
          <w:bCs/>
        </w:rPr>
        <w:t>1</w:t>
      </w:r>
      <w:r>
        <w:rPr>
          <w:rFonts w:ascii="Cambria" w:hAnsi="Cambria"/>
          <w:b/>
          <w:bCs/>
          <w:vertAlign w:val="superscript"/>
        </w:rPr>
        <w:t>ère</w:t>
      </w:r>
      <w:r>
        <w:rPr>
          <w:rFonts w:ascii="Cambria" w:hAnsi="Cambria"/>
          <w:b/>
          <w:bCs/>
        </w:rPr>
        <w:t xml:space="preserve"> édition du magazine « Toro’a » dédié aux thématiques du travail, de l’emploi et de la formation professionnelle</w:t>
      </w:r>
    </w:p>
    <w:p w:rsidR="0041338C" w:rsidRDefault="0041338C" w:rsidP="0041338C">
      <w:pPr>
        <w:rPr>
          <w:rFonts w:ascii="Cambria" w:hAnsi="Cambria"/>
        </w:rPr>
      </w:pPr>
    </w:p>
    <w:p w:rsidR="0041338C" w:rsidRDefault="0041338C" w:rsidP="0041338C">
      <w:pPr>
        <w:pStyle w:val="-LettreTexteGEDA"/>
        <w:ind w:firstLine="0"/>
        <w:rPr>
          <w:rFonts w:ascii="Cambria" w:hAnsi="Cambria"/>
        </w:rPr>
      </w:pPr>
      <w:r>
        <w:rPr>
          <w:rFonts w:ascii="Cambria" w:hAnsi="Cambria"/>
        </w:rPr>
        <w:lastRenderedPageBreak/>
        <w:t>« Toro’a » est le nouveau trimestriel dédié à tous les aspects des secteurs du travail, de l’emploi et de la formation professionnelle en Polynésie française. Ce magazine de 60 pages rassemble des articles informatifs, des portraits, des interviews de personnalités et des guides pratiques. Il contient également des informations utiles pour les entreprises souhaitant embaucher et pour les personnes souhaitant se former.</w:t>
      </w:r>
    </w:p>
    <w:p w:rsidR="0041338C" w:rsidRDefault="0041338C" w:rsidP="0041338C">
      <w:pPr>
        <w:pStyle w:val="-LettreTexteGEDA"/>
        <w:ind w:firstLine="0"/>
        <w:rPr>
          <w:rFonts w:ascii="Cambria" w:hAnsi="Cambria"/>
        </w:rPr>
      </w:pPr>
      <w:r>
        <w:rPr>
          <w:rFonts w:ascii="Cambria" w:hAnsi="Cambria"/>
        </w:rPr>
        <w:t xml:space="preserve">La SARL Fenua communication, créé en 2008, éditrice du journal d’information gratuit « Tahiti Infos » et du magazine de télévision gratuit « Fenua TV » est à l’origine de la publication de ce nouveau magazine du travail. Celui-ci s’adresse à plusieurs publics complémentaires : les professionnels en recherche de formation, les personnes en recherche d’emploi, les entreprises, ainsi que les différentes entités administratives en charge du suivi des politiques publiques du travail, de l’emploi et de la formation professionnelle, etc. « Toro’a » est accompagné d’un site internet : </w:t>
      </w:r>
      <w:r>
        <w:rPr>
          <w:rFonts w:ascii="Cambria" w:hAnsi="Cambria"/>
          <w:u w:val="single"/>
        </w:rPr>
        <w:t>toroa-mag.com</w:t>
      </w:r>
      <w:r>
        <w:rPr>
          <w:rFonts w:ascii="Cambria" w:hAnsi="Cambria"/>
        </w:rPr>
        <w:t>, qui sera régulièrement alimenté. Le magazine a aisso ses propres comptes sur les réseaux sociaux, ce qui permet de multiplier les contenus dédiés au web, comme le partage des événements et pages issus des partenaires.</w:t>
      </w:r>
    </w:p>
    <w:p w:rsidR="0041338C" w:rsidRDefault="0041338C" w:rsidP="0041338C">
      <w:pPr>
        <w:pStyle w:val="-LettreTexteGEDA"/>
        <w:ind w:firstLine="0"/>
        <w:rPr>
          <w:rFonts w:ascii="Cambria" w:hAnsi="Cambria"/>
        </w:rPr>
      </w:pPr>
      <w:r>
        <w:rPr>
          <w:rFonts w:ascii="Cambria" w:hAnsi="Cambria"/>
        </w:rPr>
        <w:t>Ce premier numéro, édité en 3000 exemplaires, a été distribué aux différentes communes se trouvant entre Papara et Mahina, aux services et entités en charge du travail, de l’emploi et de la formation professionnelle, aux organisations syndicales et patronales, dans les organismes privés de formation, à la CCISM et dans plusieurs entreprises à travers toute la Polynésie. L’Assemblée de Polynésie française et le CESEC recevront également le magazine. Dès la rentrée scolaire, il est également prévu de faire une distribution aux établissements scolaires présents dans les îles.</w:t>
      </w:r>
    </w:p>
    <w:p w:rsidR="0041338C" w:rsidRDefault="0041338C" w:rsidP="006D3AAC">
      <w:pPr>
        <w:pStyle w:val="-LettreTexteGEDA"/>
        <w:ind w:firstLine="0"/>
        <w:rPr>
          <w:rFonts w:ascii="Cambria" w:hAnsi="Cambria"/>
        </w:rPr>
      </w:pPr>
    </w:p>
    <w:p w:rsidR="006D3AAC" w:rsidRPr="00DF1D18" w:rsidRDefault="006D3AAC" w:rsidP="006D3AAC">
      <w:pPr>
        <w:pStyle w:val="-LettreObjetGEDA"/>
        <w:tabs>
          <w:tab w:val="left" w:pos="0"/>
        </w:tabs>
        <w:ind w:left="0" w:firstLine="0"/>
        <w:rPr>
          <w:rFonts w:asciiTheme="majorHAnsi" w:hAnsiTheme="majorHAnsi"/>
          <w:b/>
          <w:noProof w:val="0"/>
        </w:rPr>
      </w:pPr>
      <w:r w:rsidRPr="00DF1D18">
        <w:rPr>
          <w:rFonts w:asciiTheme="majorHAnsi" w:hAnsiTheme="majorHAnsi"/>
          <w:b/>
          <w:szCs w:val="24"/>
        </w:rPr>
        <w:t xml:space="preserve">Mise en œuvre d’une </w:t>
      </w:r>
      <w:r>
        <w:rPr>
          <w:rFonts w:asciiTheme="majorHAnsi" w:hAnsiTheme="majorHAnsi"/>
          <w:b/>
          <w:szCs w:val="24"/>
        </w:rPr>
        <w:t>s</w:t>
      </w:r>
      <w:r w:rsidRPr="00DF1D18">
        <w:rPr>
          <w:rFonts w:asciiTheme="majorHAnsi" w:hAnsiTheme="majorHAnsi"/>
          <w:b/>
          <w:szCs w:val="24"/>
        </w:rPr>
        <w:t>tratégie de spécialisation</w:t>
      </w:r>
      <w:r>
        <w:rPr>
          <w:rFonts w:asciiTheme="majorHAnsi" w:hAnsiTheme="majorHAnsi"/>
          <w:b/>
          <w:szCs w:val="24"/>
        </w:rPr>
        <w:t xml:space="preserve"> intelligente en Polynésie </w:t>
      </w:r>
      <w:r w:rsidRPr="00DF1D18">
        <w:rPr>
          <w:rFonts w:asciiTheme="majorHAnsi" w:hAnsiTheme="majorHAnsi"/>
          <w:b/>
          <w:szCs w:val="24"/>
        </w:rPr>
        <w:t>française</w:t>
      </w:r>
    </w:p>
    <w:p w:rsidR="006D3AAC" w:rsidRPr="00DF1D18" w:rsidRDefault="006D3AAC" w:rsidP="006D3AAC">
      <w:pPr>
        <w:spacing w:before="240"/>
        <w:jc w:val="both"/>
        <w:rPr>
          <w:rFonts w:asciiTheme="majorHAnsi" w:hAnsiTheme="majorHAnsi"/>
        </w:rPr>
      </w:pPr>
      <w:r w:rsidRPr="00DF1D18">
        <w:rPr>
          <w:rFonts w:asciiTheme="majorHAnsi" w:eastAsia="Calibri" w:hAnsiTheme="majorHAnsi"/>
          <w:lang w:eastAsia="en-US"/>
        </w:rPr>
        <w:t>L’innovation scientifique et technologique est considérée au niveau mondial, européen et national</w:t>
      </w:r>
      <w:r>
        <w:rPr>
          <w:rFonts w:asciiTheme="majorHAnsi" w:eastAsia="Calibri" w:hAnsiTheme="majorHAnsi"/>
          <w:lang w:eastAsia="en-US"/>
        </w:rPr>
        <w:t>,</w:t>
      </w:r>
      <w:r w:rsidRPr="00DF1D18">
        <w:rPr>
          <w:rFonts w:asciiTheme="majorHAnsi" w:eastAsia="Calibri" w:hAnsiTheme="majorHAnsi"/>
          <w:lang w:eastAsia="en-US"/>
        </w:rPr>
        <w:t xml:space="preserve"> comme une priorité pour le développement socio-économique durable et inclusif, respectueux de l’environnement et soucieux du bien-être des populations. </w:t>
      </w:r>
      <w:r w:rsidRPr="00DF1D18">
        <w:rPr>
          <w:rFonts w:asciiTheme="majorHAnsi" w:hAnsiTheme="majorHAnsi"/>
        </w:rPr>
        <w:t>Elle est indispensable pour améliorer la compétitivité dans un contexte de mondialisation croissante et fragilisée par les crises financières, environnementales et sanitaires. La récente crise socio-économique liée à la pandémie de covid-19 a démontré la nécessité d’élaborer de nouveaux modèles de développement adaptés et résilients basés sur l’économie de la connaissance.</w:t>
      </w:r>
    </w:p>
    <w:p w:rsidR="006D3AAC" w:rsidRPr="00DF1D18" w:rsidRDefault="006D3AAC" w:rsidP="006D3AAC">
      <w:pPr>
        <w:spacing w:before="240" w:after="120"/>
        <w:jc w:val="both"/>
        <w:rPr>
          <w:rFonts w:asciiTheme="majorHAnsi" w:eastAsia="Calibri" w:hAnsiTheme="majorHAnsi"/>
          <w:lang w:eastAsia="en-US"/>
        </w:rPr>
      </w:pPr>
      <w:r w:rsidRPr="00DF1D18">
        <w:rPr>
          <w:rFonts w:asciiTheme="majorHAnsi" w:eastAsia="Calibri" w:hAnsiTheme="majorHAnsi"/>
          <w:lang w:eastAsia="en-US"/>
        </w:rPr>
        <w:t>L’Europe s’est engagée dans une démarche de soutien à l’innovation scientifique et technologique dans l’ensemble de ses régions, y compris dans les Outre-</w:t>
      </w:r>
      <w:r>
        <w:rPr>
          <w:rFonts w:asciiTheme="majorHAnsi" w:eastAsia="Calibri" w:hAnsiTheme="majorHAnsi"/>
          <w:lang w:eastAsia="en-US"/>
        </w:rPr>
        <w:t>m</w:t>
      </w:r>
      <w:r w:rsidRPr="00DF1D18">
        <w:rPr>
          <w:rFonts w:asciiTheme="majorHAnsi" w:eastAsia="Calibri" w:hAnsiTheme="majorHAnsi"/>
          <w:lang w:eastAsia="en-US"/>
        </w:rPr>
        <w:t xml:space="preserve">er, par la mise en place de </w:t>
      </w:r>
      <w:r>
        <w:rPr>
          <w:rFonts w:asciiTheme="majorHAnsi" w:eastAsia="Calibri" w:hAnsiTheme="majorHAnsi"/>
          <w:lang w:eastAsia="en-US"/>
        </w:rPr>
        <w:t>s</w:t>
      </w:r>
      <w:r w:rsidRPr="00DF1D18">
        <w:rPr>
          <w:rFonts w:asciiTheme="majorHAnsi" w:eastAsia="Calibri" w:hAnsiTheme="majorHAnsi"/>
          <w:lang w:eastAsia="en-US"/>
        </w:rPr>
        <w:t xml:space="preserve">tratégies de spécialisation intelligente, </w:t>
      </w:r>
      <w:r w:rsidRPr="00DF1D18">
        <w:rPr>
          <w:rFonts w:asciiTheme="majorHAnsi" w:hAnsiTheme="majorHAnsi"/>
        </w:rPr>
        <w:t>appelées S3 pour « </w:t>
      </w:r>
      <w:r w:rsidRPr="00DF1D18">
        <w:rPr>
          <w:rFonts w:asciiTheme="majorHAnsi" w:hAnsiTheme="majorHAnsi"/>
          <w:i/>
        </w:rPr>
        <w:t xml:space="preserve">Smart </w:t>
      </w:r>
      <w:proofErr w:type="spellStart"/>
      <w:r w:rsidRPr="00DF1D18">
        <w:rPr>
          <w:rFonts w:asciiTheme="majorHAnsi" w:hAnsiTheme="majorHAnsi"/>
          <w:i/>
        </w:rPr>
        <w:t>Specialisation</w:t>
      </w:r>
      <w:proofErr w:type="spellEnd"/>
      <w:r w:rsidRPr="00DF1D18">
        <w:rPr>
          <w:rFonts w:asciiTheme="majorHAnsi" w:hAnsiTheme="majorHAnsi"/>
          <w:i/>
        </w:rPr>
        <w:t xml:space="preserve"> </w:t>
      </w:r>
      <w:proofErr w:type="spellStart"/>
      <w:r w:rsidRPr="00DF1D18">
        <w:rPr>
          <w:rFonts w:asciiTheme="majorHAnsi" w:hAnsiTheme="majorHAnsi"/>
          <w:i/>
        </w:rPr>
        <w:t>Strategy</w:t>
      </w:r>
      <w:proofErr w:type="spellEnd"/>
      <w:r w:rsidRPr="00DF1D18">
        <w:rPr>
          <w:rFonts w:asciiTheme="majorHAnsi" w:hAnsiTheme="majorHAnsi"/>
        </w:rPr>
        <w:t xml:space="preserve"> ». Elles </w:t>
      </w:r>
      <w:r w:rsidRPr="00DF1D18">
        <w:rPr>
          <w:rFonts w:asciiTheme="majorHAnsi" w:eastAsia="Calibri" w:hAnsiTheme="majorHAnsi"/>
          <w:lang w:eastAsia="en-US"/>
        </w:rPr>
        <w:t>visent à renforcer la compétitivité des secteurs de l’économie par des politiques de recherche et d’innovation favorisant la création de valeur ajoutée dans ses domaines d’expertise.</w:t>
      </w:r>
    </w:p>
    <w:p w:rsidR="006D3AAC" w:rsidRPr="00DF1D18" w:rsidRDefault="006D3AAC" w:rsidP="006D3AAC">
      <w:pPr>
        <w:spacing w:before="240" w:after="120"/>
        <w:jc w:val="both"/>
        <w:rPr>
          <w:rFonts w:asciiTheme="majorHAnsi" w:hAnsiTheme="majorHAnsi"/>
          <w:lang w:eastAsia="fr-FR"/>
        </w:rPr>
      </w:pPr>
      <w:r w:rsidRPr="00DF1D18">
        <w:rPr>
          <w:rFonts w:asciiTheme="majorHAnsi" w:hAnsiTheme="majorHAnsi"/>
        </w:rPr>
        <w:t xml:space="preserve">La S3 de Polynésie française sera fondée sur un consensus autour d’une </w:t>
      </w:r>
      <w:r w:rsidRPr="00DF1D18">
        <w:rPr>
          <w:rFonts w:asciiTheme="majorHAnsi" w:hAnsiTheme="majorHAnsi"/>
          <w:iCs/>
        </w:rPr>
        <w:t>vision commune</w:t>
      </w:r>
      <w:r w:rsidRPr="00DF1D18">
        <w:rPr>
          <w:rFonts w:asciiTheme="majorHAnsi" w:hAnsiTheme="majorHAnsi"/>
        </w:rPr>
        <w:t xml:space="preserve"> des atouts du territoire et de son devenir. Elle sera donc élaborée par les autorités locales avec l’ensemble des acteurs concernés dont les chercheurs, entrepreneurs, chambres consulaires, associations et clusters, lors d’un processus de concertation. Cette démarche participative basée sur l’intelligence collective est nécessaire pour définir une stratégie </w:t>
      </w:r>
      <w:r w:rsidRPr="00DF1D18">
        <w:rPr>
          <w:rFonts w:asciiTheme="majorHAnsi" w:hAnsiTheme="majorHAnsi"/>
        </w:rPr>
        <w:lastRenderedPageBreak/>
        <w:t xml:space="preserve">qui corresponde parfaitement </w:t>
      </w:r>
      <w:r w:rsidRPr="00DF1D18">
        <w:rPr>
          <w:rFonts w:asciiTheme="majorHAnsi" w:eastAsia="Calibri" w:hAnsiTheme="majorHAnsi"/>
          <w:lang w:eastAsia="en-US"/>
        </w:rPr>
        <w:t>au contexte socio-économique local, à ses filières et ses activités</w:t>
      </w:r>
      <w:r w:rsidRPr="00DF1D18">
        <w:rPr>
          <w:rFonts w:asciiTheme="majorHAnsi" w:hAnsiTheme="majorHAnsi"/>
        </w:rPr>
        <w:t>.</w:t>
      </w:r>
    </w:p>
    <w:p w:rsidR="006D3AAC" w:rsidRDefault="006D3AAC" w:rsidP="006D3AAC">
      <w:pPr>
        <w:pStyle w:val="NormalWeb"/>
        <w:spacing w:before="240" w:beforeAutospacing="0" w:after="0" w:afterAutospacing="0"/>
        <w:jc w:val="both"/>
        <w:rPr>
          <w:rFonts w:asciiTheme="majorHAnsi" w:eastAsia="Calibri" w:hAnsiTheme="majorHAnsi"/>
          <w:lang w:eastAsia="en-US"/>
        </w:rPr>
      </w:pPr>
      <w:r w:rsidRPr="00DF1D18">
        <w:rPr>
          <w:rFonts w:asciiTheme="majorHAnsi" w:hAnsiTheme="majorHAnsi"/>
          <w:szCs w:val="20"/>
        </w:rPr>
        <w:t>Le processus de concertation qui sera piloté par le Pays avec les différents acteurs de l’innovation et en partenariat avec les services de l’Etat permettra de préparer la feuille de route et définir un plan d’actions afin d’aboutir</w:t>
      </w:r>
      <w:r w:rsidRPr="00DF1D18">
        <w:rPr>
          <w:rFonts w:asciiTheme="majorHAnsi" w:eastAsia="Calibri" w:hAnsiTheme="majorHAnsi"/>
          <w:lang w:eastAsia="en-US"/>
        </w:rPr>
        <w:t xml:space="preserve"> à la rédaction finale de la S3 de la Polynésie française, socle indispensable à la mise en place de structures locales d’accompagnement à l’innovation, mais également à l’obtention des financements européens associés.</w:t>
      </w:r>
    </w:p>
    <w:p w:rsidR="000C2A16" w:rsidRDefault="000C2A16" w:rsidP="006D3AAC">
      <w:pPr>
        <w:pStyle w:val="NormalWeb"/>
        <w:spacing w:before="240" w:beforeAutospacing="0" w:after="0" w:afterAutospacing="0"/>
        <w:jc w:val="both"/>
        <w:rPr>
          <w:rFonts w:asciiTheme="majorHAnsi" w:eastAsia="Calibri" w:hAnsiTheme="majorHAnsi"/>
          <w:lang w:eastAsia="en-US"/>
        </w:rPr>
      </w:pPr>
    </w:p>
    <w:p w:rsidR="000C2A16" w:rsidRDefault="000C2A16" w:rsidP="000C2A16">
      <w:pPr>
        <w:rPr>
          <w:rFonts w:ascii="Cambria" w:hAnsi="Cambria"/>
          <w:b/>
          <w:bCs/>
          <w:lang w:eastAsia="en-US"/>
        </w:rPr>
      </w:pPr>
      <w:r>
        <w:rPr>
          <w:rFonts w:ascii="Cambria" w:hAnsi="Cambria"/>
          <w:b/>
          <w:bCs/>
        </w:rPr>
        <w:t>Tarifs d’électricité : baisse de 10% au 1</w:t>
      </w:r>
      <w:r>
        <w:rPr>
          <w:rFonts w:ascii="Cambria" w:hAnsi="Cambria"/>
          <w:b/>
          <w:bCs/>
          <w:vertAlign w:val="superscript"/>
        </w:rPr>
        <w:t>er</w:t>
      </w:r>
      <w:r>
        <w:rPr>
          <w:rFonts w:ascii="Cambria" w:hAnsi="Cambria"/>
          <w:b/>
          <w:bCs/>
        </w:rPr>
        <w:t xml:space="preserve"> août pour les petits consommateurs</w:t>
      </w:r>
    </w:p>
    <w:p w:rsidR="000C2A16" w:rsidRDefault="000C2A16" w:rsidP="000C2A16">
      <w:pPr>
        <w:rPr>
          <w:rFonts w:ascii="Cambria" w:hAnsi="Cambria"/>
        </w:rPr>
      </w:pPr>
    </w:p>
    <w:p w:rsidR="000C2A16" w:rsidRDefault="000C2A16" w:rsidP="000C2A16">
      <w:pPr>
        <w:pStyle w:val="-LettreTexteGEDA"/>
        <w:ind w:firstLine="0"/>
        <w:rPr>
          <w:rFonts w:ascii="Cambria" w:hAnsi="Cambria"/>
          <w:szCs w:val="24"/>
        </w:rPr>
      </w:pPr>
      <w:r>
        <w:rPr>
          <w:rFonts w:ascii="Cambria" w:hAnsi="Cambria"/>
        </w:rPr>
        <w:t>A la suite d’un avenant à la convention de concession de distribution publique d'énergie électrique de Tahiti, présenté en Conseil des ministres le 3 juillet dernier, le Conseil des ministres a autorisé une baisse tarifaire de la tranche « petits consommateurs » à compter du 1</w:t>
      </w:r>
      <w:r>
        <w:rPr>
          <w:rFonts w:ascii="Cambria" w:hAnsi="Cambria"/>
          <w:vertAlign w:val="superscript"/>
        </w:rPr>
        <w:t>er</w:t>
      </w:r>
      <w:r>
        <w:rPr>
          <w:rFonts w:ascii="Cambria" w:hAnsi="Cambria"/>
        </w:rPr>
        <w:t xml:space="preserve"> août 2020.  </w:t>
      </w:r>
    </w:p>
    <w:p w:rsidR="000C2A16" w:rsidRDefault="000C2A16" w:rsidP="000C2A16">
      <w:pPr>
        <w:pStyle w:val="-LettreTexteGEDA"/>
        <w:ind w:firstLine="0"/>
        <w:rPr>
          <w:rFonts w:ascii="Cambria" w:hAnsi="Cambria"/>
        </w:rPr>
      </w:pPr>
      <w:r>
        <w:rPr>
          <w:rFonts w:ascii="Cambria" w:hAnsi="Cambria"/>
        </w:rPr>
        <w:t xml:space="preserve">La tranche P0 va ainsi passer de 19 à 17 Fcfp/kWh et la tranche P1 passer de 39 à 35 Fcfp/kWh, soit une baisse de 10 % pour les petits consommateurs. </w:t>
      </w:r>
    </w:p>
    <w:p w:rsidR="000C2A16" w:rsidRPr="000C2A16" w:rsidRDefault="000C2A16" w:rsidP="000C2A16">
      <w:pPr>
        <w:pStyle w:val="-LettreTexteGEDA"/>
        <w:ind w:firstLine="0"/>
        <w:rPr>
          <w:rFonts w:ascii="Cambria" w:hAnsi="Cambria"/>
        </w:rPr>
      </w:pPr>
      <w:r>
        <w:rPr>
          <w:rFonts w:ascii="Cambria" w:hAnsi="Cambria"/>
        </w:rPr>
        <w:t xml:space="preserve">Cette baisse participe aux actions menées par le Pays en vue de faire face aux difficultés économiques des familles, conséquence directe de la crise sanitaire du Covid-19. </w:t>
      </w:r>
    </w:p>
    <w:p w:rsidR="006D3AAC" w:rsidRDefault="006D3AAC" w:rsidP="008D409F">
      <w:pPr>
        <w:pStyle w:val="-LettreTexteGEDA"/>
        <w:ind w:firstLine="0"/>
        <w:rPr>
          <w:rFonts w:asciiTheme="majorHAnsi" w:hAnsiTheme="majorHAnsi"/>
          <w:b/>
          <w:bCs/>
          <w:szCs w:val="24"/>
        </w:rPr>
      </w:pPr>
    </w:p>
    <w:p w:rsidR="008D409F" w:rsidRPr="008D409F" w:rsidRDefault="008D409F" w:rsidP="008D409F">
      <w:pPr>
        <w:pStyle w:val="-LettreTexteGEDA"/>
        <w:ind w:firstLine="0"/>
        <w:rPr>
          <w:rFonts w:asciiTheme="majorHAnsi" w:hAnsiTheme="majorHAnsi"/>
          <w:b/>
          <w:bCs/>
          <w:szCs w:val="24"/>
        </w:rPr>
      </w:pPr>
      <w:r w:rsidRPr="008D409F">
        <w:rPr>
          <w:rFonts w:asciiTheme="majorHAnsi" w:hAnsiTheme="majorHAnsi"/>
          <w:b/>
          <w:bCs/>
          <w:szCs w:val="24"/>
        </w:rPr>
        <w:t xml:space="preserve">Subvention </w:t>
      </w:r>
      <w:r w:rsidR="00733923">
        <w:rPr>
          <w:rFonts w:asciiTheme="majorHAnsi" w:hAnsiTheme="majorHAnsi"/>
          <w:b/>
          <w:bCs/>
          <w:szCs w:val="24"/>
        </w:rPr>
        <w:t>pour l’organisation du Marquises Code Camp</w:t>
      </w:r>
    </w:p>
    <w:p w:rsidR="008D409F" w:rsidRPr="0044573A" w:rsidRDefault="0044573A" w:rsidP="008D409F">
      <w:pPr>
        <w:pStyle w:val="-LettreObjetGEDA"/>
        <w:tabs>
          <w:tab w:val="left" w:pos="709"/>
        </w:tabs>
        <w:ind w:left="0" w:firstLine="0"/>
        <w:rPr>
          <w:rFonts w:asciiTheme="majorHAnsi" w:hAnsiTheme="majorHAnsi"/>
        </w:rPr>
      </w:pPr>
      <w:r w:rsidRPr="0044573A">
        <w:rPr>
          <w:rFonts w:asciiTheme="majorHAnsi" w:hAnsiTheme="majorHAnsi"/>
        </w:rPr>
        <w:t>L</w:t>
      </w:r>
      <w:r w:rsidR="008D409F" w:rsidRPr="0044573A">
        <w:rPr>
          <w:rFonts w:asciiTheme="majorHAnsi" w:hAnsiTheme="majorHAnsi"/>
        </w:rPr>
        <w:t>e Conseil des ministres a approuvé l’attribution d’une subvention de fonctionnement en faveur du Conservatoire national des arts et métiers (CNAM) pour le financement de l’action « Marquises Code Camp » pour l’année 2020. </w:t>
      </w:r>
    </w:p>
    <w:p w:rsidR="008D409F" w:rsidRPr="0044573A" w:rsidRDefault="008D409F" w:rsidP="008D409F">
      <w:pPr>
        <w:pStyle w:val="-LettreTexteGEDA"/>
        <w:ind w:firstLine="0"/>
        <w:rPr>
          <w:rFonts w:asciiTheme="majorHAnsi" w:hAnsiTheme="majorHAnsi"/>
          <w:noProof w:val="0"/>
        </w:rPr>
      </w:pPr>
      <w:r w:rsidRPr="0044573A">
        <w:rPr>
          <w:rFonts w:asciiTheme="majorHAnsi" w:hAnsiTheme="majorHAnsi"/>
          <w:noProof w:val="0"/>
        </w:rPr>
        <w:t>Dans le cadre de sa convention pluriannuelle d’objectifs 2019-2021 du 5 novembre 2018, le Conservatoire National des Arts et des Métier</w:t>
      </w:r>
      <w:r w:rsidR="00733923">
        <w:rPr>
          <w:rFonts w:asciiTheme="majorHAnsi" w:hAnsiTheme="majorHAnsi"/>
          <w:noProof w:val="0"/>
        </w:rPr>
        <w:t xml:space="preserve">s (CNAM) </w:t>
      </w:r>
      <w:proofErr w:type="gramStart"/>
      <w:r w:rsidR="00733923">
        <w:rPr>
          <w:rFonts w:asciiTheme="majorHAnsi" w:hAnsiTheme="majorHAnsi"/>
          <w:noProof w:val="0"/>
        </w:rPr>
        <w:t>acc</w:t>
      </w:r>
      <w:r w:rsidRPr="0044573A">
        <w:rPr>
          <w:rFonts w:asciiTheme="majorHAnsi" w:hAnsiTheme="majorHAnsi"/>
          <w:noProof w:val="0"/>
        </w:rPr>
        <w:t>ompagne</w:t>
      </w:r>
      <w:proofErr w:type="gramEnd"/>
      <w:r w:rsidRPr="0044573A">
        <w:rPr>
          <w:rFonts w:asciiTheme="majorHAnsi" w:hAnsiTheme="majorHAnsi"/>
          <w:noProof w:val="0"/>
        </w:rPr>
        <w:t xml:space="preserve"> </w:t>
      </w:r>
      <w:r w:rsidR="00733923">
        <w:rPr>
          <w:rFonts w:asciiTheme="majorHAnsi" w:hAnsiTheme="majorHAnsi"/>
          <w:noProof w:val="0"/>
        </w:rPr>
        <w:t xml:space="preserve">en effet </w:t>
      </w:r>
      <w:r w:rsidRPr="0044573A">
        <w:rPr>
          <w:rFonts w:asciiTheme="majorHAnsi" w:hAnsiTheme="majorHAnsi"/>
          <w:noProof w:val="0"/>
        </w:rPr>
        <w:t>le Pays dans la mise en œuvre de sa stratégie en matière de formation tout au long de la vie.</w:t>
      </w:r>
      <w:r w:rsidR="006545ED">
        <w:rPr>
          <w:rFonts w:asciiTheme="majorHAnsi" w:hAnsiTheme="majorHAnsi"/>
          <w:noProof w:val="0"/>
        </w:rPr>
        <w:t xml:space="preserve"> </w:t>
      </w:r>
      <w:r w:rsidRPr="0044573A">
        <w:rPr>
          <w:rFonts w:asciiTheme="majorHAnsi" w:hAnsiTheme="majorHAnsi"/>
          <w:noProof w:val="0"/>
        </w:rPr>
        <w:t>La mise en œuvre de l’action « développer des programmes de formation aux métiers du numérique » du plan S</w:t>
      </w:r>
      <w:r w:rsidR="00733923">
        <w:rPr>
          <w:rFonts w:asciiTheme="majorHAnsi" w:hAnsiTheme="majorHAnsi"/>
          <w:noProof w:val="0"/>
        </w:rPr>
        <w:t>mart</w:t>
      </w:r>
      <w:r w:rsidRPr="0044573A">
        <w:rPr>
          <w:rFonts w:asciiTheme="majorHAnsi" w:hAnsiTheme="majorHAnsi"/>
          <w:noProof w:val="0"/>
        </w:rPr>
        <w:t xml:space="preserve"> </w:t>
      </w:r>
      <w:proofErr w:type="spellStart"/>
      <w:r w:rsidRPr="0044573A">
        <w:rPr>
          <w:rFonts w:asciiTheme="majorHAnsi" w:hAnsiTheme="majorHAnsi"/>
          <w:noProof w:val="0"/>
        </w:rPr>
        <w:t>P</w:t>
      </w:r>
      <w:r w:rsidR="00733923">
        <w:rPr>
          <w:rFonts w:asciiTheme="majorHAnsi" w:hAnsiTheme="majorHAnsi"/>
          <w:noProof w:val="0"/>
        </w:rPr>
        <w:t>olynesia</w:t>
      </w:r>
      <w:proofErr w:type="spellEnd"/>
      <w:r w:rsidRPr="0044573A">
        <w:rPr>
          <w:rFonts w:asciiTheme="majorHAnsi" w:hAnsiTheme="majorHAnsi"/>
          <w:noProof w:val="0"/>
        </w:rPr>
        <w:t xml:space="preserve">, l’installation du câble </w:t>
      </w:r>
      <w:proofErr w:type="spellStart"/>
      <w:r w:rsidRPr="0044573A">
        <w:rPr>
          <w:rFonts w:asciiTheme="majorHAnsi" w:hAnsiTheme="majorHAnsi"/>
          <w:noProof w:val="0"/>
        </w:rPr>
        <w:t>Natitua</w:t>
      </w:r>
      <w:proofErr w:type="spellEnd"/>
      <w:r w:rsidRPr="0044573A">
        <w:rPr>
          <w:rFonts w:asciiTheme="majorHAnsi" w:hAnsiTheme="majorHAnsi"/>
          <w:noProof w:val="0"/>
        </w:rPr>
        <w:t xml:space="preserve"> aux îles Marquises, le développement nécessaire d’applications numériques et notamment les conclusions positives de la session 2019 du « Tahiti code camp » (76% d’insertion à l’issue de la formation), sont autant d’éléments qui concourent à poursuivre l’action de formation proposée par le CNAM.</w:t>
      </w:r>
    </w:p>
    <w:p w:rsidR="008D409F" w:rsidRPr="0044573A" w:rsidRDefault="008D409F" w:rsidP="008D409F">
      <w:pPr>
        <w:pStyle w:val="-ConventionPrambuleGEDA"/>
        <w:ind w:firstLine="0"/>
        <w:rPr>
          <w:rFonts w:asciiTheme="majorHAnsi" w:hAnsiTheme="majorHAnsi"/>
        </w:rPr>
      </w:pPr>
      <w:r w:rsidRPr="0044573A">
        <w:rPr>
          <w:rFonts w:asciiTheme="majorHAnsi" w:hAnsiTheme="majorHAnsi"/>
        </w:rPr>
        <w:t xml:space="preserve">Ainsi, il </w:t>
      </w:r>
      <w:r w:rsidR="00733923">
        <w:rPr>
          <w:rFonts w:asciiTheme="majorHAnsi" w:hAnsiTheme="majorHAnsi"/>
        </w:rPr>
        <w:t>a été acté</w:t>
      </w:r>
      <w:r w:rsidRPr="0044573A">
        <w:rPr>
          <w:rFonts w:asciiTheme="majorHAnsi" w:hAnsiTheme="majorHAnsi"/>
        </w:rPr>
        <w:t xml:space="preserve"> d’apporter un soutien financier à la formation intitulée « Marquises code camp » intervenant dans le secteur du Web et du codage informatique. Labellisée Grande Ecole du Numérique, cette formation de 10 semaines est ouverte à un maximum de 15 jeunes </w:t>
      </w:r>
      <w:r w:rsidR="00733923">
        <w:rPr>
          <w:rFonts w:asciiTheme="majorHAnsi" w:hAnsiTheme="majorHAnsi"/>
        </w:rPr>
        <w:t>M</w:t>
      </w:r>
      <w:r w:rsidRPr="0044573A">
        <w:rPr>
          <w:rFonts w:asciiTheme="majorHAnsi" w:hAnsiTheme="majorHAnsi"/>
        </w:rPr>
        <w:t xml:space="preserve">arquisiens de moins de 30 ans, en situation sociale précaire (décrochage scolaire, recherche d’emploi). </w:t>
      </w:r>
    </w:p>
    <w:p w:rsidR="006D3AAC" w:rsidRDefault="0044573A" w:rsidP="006D3AAC">
      <w:pPr>
        <w:pStyle w:val="-LettreTexteGEDA"/>
        <w:ind w:firstLine="0"/>
        <w:rPr>
          <w:rFonts w:asciiTheme="majorHAnsi" w:hAnsiTheme="majorHAnsi"/>
          <w:noProof w:val="0"/>
        </w:rPr>
      </w:pPr>
      <w:r w:rsidRPr="0044573A">
        <w:rPr>
          <w:rFonts w:asciiTheme="majorHAnsi" w:hAnsiTheme="majorHAnsi"/>
          <w:noProof w:val="0"/>
        </w:rPr>
        <w:t>Ce projet vise à </w:t>
      </w:r>
      <w:r w:rsidR="008D409F" w:rsidRPr="0044573A">
        <w:rPr>
          <w:rFonts w:asciiTheme="majorHAnsi" w:hAnsiTheme="majorHAnsi"/>
          <w:noProof w:val="0"/>
        </w:rPr>
        <w:t xml:space="preserve">constituer un premier vivier de compétences pour les métiers du numérique, plus précisément dans le </w:t>
      </w:r>
      <w:r w:rsidRPr="0044573A">
        <w:rPr>
          <w:rFonts w:asciiTheme="majorHAnsi" w:hAnsiTheme="majorHAnsi"/>
          <w:noProof w:val="0"/>
        </w:rPr>
        <w:t xml:space="preserve">domaine du codage informatique </w:t>
      </w:r>
      <w:r w:rsidR="008D409F" w:rsidRPr="0044573A">
        <w:rPr>
          <w:rFonts w:asciiTheme="majorHAnsi" w:hAnsiTheme="majorHAnsi"/>
          <w:noProof w:val="0"/>
        </w:rPr>
        <w:t xml:space="preserve">et à offrir une formation adaptée, innovante et spécialisée dans la programmation  informatique en accord avec les plus hauts standards internationaux. Le budget prévisionnel de l’action est estimé à 7,7 millions </w:t>
      </w:r>
      <w:proofErr w:type="spellStart"/>
      <w:r w:rsidR="00733923">
        <w:rPr>
          <w:rFonts w:asciiTheme="majorHAnsi" w:hAnsiTheme="majorHAnsi"/>
          <w:noProof w:val="0"/>
        </w:rPr>
        <w:t>Fcfp</w:t>
      </w:r>
      <w:proofErr w:type="spellEnd"/>
      <w:r w:rsidR="008D409F" w:rsidRPr="0044573A">
        <w:rPr>
          <w:rFonts w:asciiTheme="majorHAnsi" w:hAnsiTheme="majorHAnsi"/>
          <w:noProof w:val="0"/>
        </w:rPr>
        <w:t xml:space="preserve">, </w:t>
      </w:r>
      <w:r w:rsidRPr="0044573A">
        <w:rPr>
          <w:rFonts w:asciiTheme="majorHAnsi" w:hAnsiTheme="majorHAnsi"/>
          <w:noProof w:val="0"/>
        </w:rPr>
        <w:t>avec</w:t>
      </w:r>
      <w:r w:rsidR="008D409F" w:rsidRPr="0044573A">
        <w:rPr>
          <w:rFonts w:asciiTheme="majorHAnsi" w:hAnsiTheme="majorHAnsi"/>
          <w:noProof w:val="0"/>
        </w:rPr>
        <w:t xml:space="preserve"> un</w:t>
      </w:r>
      <w:r w:rsidRPr="0044573A">
        <w:rPr>
          <w:rFonts w:asciiTheme="majorHAnsi" w:hAnsiTheme="majorHAnsi"/>
          <w:noProof w:val="0"/>
        </w:rPr>
        <w:t xml:space="preserve">e participation du Pays de 65 %, soit 5 millions </w:t>
      </w:r>
      <w:proofErr w:type="spellStart"/>
      <w:r w:rsidRPr="0044573A">
        <w:rPr>
          <w:rFonts w:asciiTheme="majorHAnsi" w:hAnsiTheme="majorHAnsi"/>
          <w:noProof w:val="0"/>
        </w:rPr>
        <w:t>Fcfp</w:t>
      </w:r>
      <w:proofErr w:type="spellEnd"/>
      <w:r w:rsidR="00733923">
        <w:rPr>
          <w:rFonts w:asciiTheme="majorHAnsi" w:hAnsiTheme="majorHAnsi"/>
          <w:noProof w:val="0"/>
        </w:rPr>
        <w:t xml:space="preserve">, </w:t>
      </w:r>
      <w:r w:rsidR="00733923">
        <w:rPr>
          <w:rFonts w:asciiTheme="majorHAnsi" w:hAnsiTheme="majorHAnsi"/>
          <w:noProof w:val="0"/>
        </w:rPr>
        <w:lastRenderedPageBreak/>
        <w:t xml:space="preserve">4 millions </w:t>
      </w:r>
      <w:proofErr w:type="spellStart"/>
      <w:r w:rsidR="00733923">
        <w:rPr>
          <w:rFonts w:asciiTheme="majorHAnsi" w:hAnsiTheme="majorHAnsi"/>
          <w:noProof w:val="0"/>
        </w:rPr>
        <w:t>Fcfp</w:t>
      </w:r>
      <w:proofErr w:type="spellEnd"/>
      <w:r w:rsidR="00733923">
        <w:rPr>
          <w:rFonts w:asciiTheme="majorHAnsi" w:hAnsiTheme="majorHAnsi"/>
          <w:noProof w:val="0"/>
        </w:rPr>
        <w:t xml:space="preserve"> provenant du ministère de la Modernisation de l’administration, en charge du numérique, et 1 million </w:t>
      </w:r>
      <w:proofErr w:type="spellStart"/>
      <w:r w:rsidR="00733923">
        <w:rPr>
          <w:rFonts w:asciiTheme="majorHAnsi" w:hAnsiTheme="majorHAnsi"/>
          <w:noProof w:val="0"/>
        </w:rPr>
        <w:t>Fcfp</w:t>
      </w:r>
      <w:proofErr w:type="spellEnd"/>
      <w:r w:rsidR="00733923">
        <w:rPr>
          <w:rFonts w:asciiTheme="majorHAnsi" w:hAnsiTheme="majorHAnsi"/>
          <w:noProof w:val="0"/>
        </w:rPr>
        <w:t xml:space="preserve"> provenant du ministère de la Famille, en charge de l’égalité des chances</w:t>
      </w:r>
      <w:r w:rsidRPr="0044573A">
        <w:rPr>
          <w:rFonts w:asciiTheme="majorHAnsi" w:hAnsiTheme="majorHAnsi"/>
          <w:noProof w:val="0"/>
        </w:rPr>
        <w:t>.</w:t>
      </w:r>
    </w:p>
    <w:p w:rsidR="006D3AAC" w:rsidRPr="006D3AAC" w:rsidRDefault="006D3AAC" w:rsidP="006D3AAC">
      <w:pPr>
        <w:pStyle w:val="-LettreTexteGEDA"/>
        <w:ind w:firstLine="0"/>
        <w:rPr>
          <w:rFonts w:asciiTheme="majorHAnsi" w:hAnsiTheme="majorHAnsi"/>
          <w:noProof w:val="0"/>
        </w:rPr>
      </w:pPr>
    </w:p>
    <w:p w:rsidR="006D3AAC" w:rsidRPr="003C69D8" w:rsidRDefault="006D3AAC" w:rsidP="006D3AAC">
      <w:pPr>
        <w:spacing w:before="240" w:after="120"/>
        <w:jc w:val="both"/>
        <w:rPr>
          <w:rFonts w:asciiTheme="majorHAnsi" w:eastAsia="Calibri" w:hAnsiTheme="majorHAnsi"/>
          <w:b/>
          <w:lang w:eastAsia="en-US"/>
        </w:rPr>
      </w:pPr>
      <w:r w:rsidRPr="003C69D8">
        <w:rPr>
          <w:rFonts w:asciiTheme="majorHAnsi" w:eastAsia="Calibri" w:hAnsiTheme="majorHAnsi"/>
          <w:b/>
          <w:lang w:eastAsia="en-US"/>
        </w:rPr>
        <w:t>Mise en œuvre de l’affichage bilingue en Polynésie française</w:t>
      </w:r>
    </w:p>
    <w:p w:rsidR="006D3AAC" w:rsidRDefault="006D3AAC" w:rsidP="006D3AAC">
      <w:pPr>
        <w:pStyle w:val="-LettreTexteGEDA"/>
        <w:rPr>
          <w:noProof w:val="0"/>
          <w:highlight w:val="yellow"/>
        </w:rPr>
      </w:pPr>
    </w:p>
    <w:p w:rsidR="006D3AAC" w:rsidRPr="003C69D8" w:rsidRDefault="006D3AAC" w:rsidP="006D3AAC">
      <w:pPr>
        <w:spacing w:before="240" w:after="120"/>
        <w:jc w:val="both"/>
        <w:rPr>
          <w:rFonts w:asciiTheme="majorHAnsi" w:eastAsia="Calibri" w:hAnsiTheme="majorHAnsi"/>
          <w:lang w:eastAsia="en-US"/>
        </w:rPr>
      </w:pPr>
      <w:r>
        <w:rPr>
          <w:rFonts w:asciiTheme="majorHAnsi" w:eastAsia="Calibri" w:hAnsiTheme="majorHAnsi"/>
          <w:lang w:eastAsia="en-US"/>
        </w:rPr>
        <w:t>Le m</w:t>
      </w:r>
      <w:r w:rsidRPr="003C69D8">
        <w:rPr>
          <w:rFonts w:asciiTheme="majorHAnsi" w:eastAsia="Calibri" w:hAnsiTheme="majorHAnsi"/>
          <w:lang w:eastAsia="en-US"/>
        </w:rPr>
        <w:t>inistère de la Culture</w:t>
      </w:r>
      <w:r>
        <w:rPr>
          <w:rFonts w:asciiTheme="majorHAnsi" w:eastAsia="Calibri" w:hAnsiTheme="majorHAnsi"/>
          <w:lang w:eastAsia="en-US"/>
        </w:rPr>
        <w:t>,</w:t>
      </w:r>
      <w:r w:rsidRPr="003C69D8">
        <w:rPr>
          <w:rFonts w:asciiTheme="majorHAnsi" w:eastAsia="Calibri" w:hAnsiTheme="majorHAnsi"/>
          <w:lang w:eastAsia="en-US"/>
        </w:rPr>
        <w:t xml:space="preserve"> en charge de la promotion des langues polynésiennes</w:t>
      </w:r>
      <w:r>
        <w:rPr>
          <w:rFonts w:asciiTheme="majorHAnsi" w:eastAsia="Calibri" w:hAnsiTheme="majorHAnsi"/>
          <w:lang w:eastAsia="en-US"/>
        </w:rPr>
        <w:t>,</w:t>
      </w:r>
      <w:r w:rsidRPr="003C69D8">
        <w:rPr>
          <w:rFonts w:asciiTheme="majorHAnsi" w:eastAsia="Calibri" w:hAnsiTheme="majorHAnsi"/>
          <w:lang w:eastAsia="en-US"/>
        </w:rPr>
        <w:t xml:space="preserve"> a présenté au Conseil des ministres une communication relative à la mise en œuvre de l’affichage bilingue dans l’espace public en Polynésie française afin d’accroître leur visibilité.  </w:t>
      </w:r>
    </w:p>
    <w:p w:rsidR="006D3AAC" w:rsidRPr="003C69D8" w:rsidRDefault="006D3AAC" w:rsidP="006D3AAC">
      <w:pPr>
        <w:spacing w:before="240" w:after="120"/>
        <w:jc w:val="both"/>
        <w:rPr>
          <w:rFonts w:asciiTheme="majorHAnsi" w:eastAsia="Calibri" w:hAnsiTheme="majorHAnsi"/>
          <w:lang w:eastAsia="en-US"/>
        </w:rPr>
      </w:pPr>
      <w:r w:rsidRPr="003C69D8">
        <w:rPr>
          <w:rFonts w:asciiTheme="majorHAnsi" w:eastAsia="Calibri" w:hAnsiTheme="majorHAnsi"/>
          <w:lang w:eastAsia="en-US"/>
        </w:rPr>
        <w:t>Il procèdera dans un premier temps à la mise en œuvre du double affichage en « français/une des langues polynésiennes » dans les services et établissements sous sa tutelle, notamment :</w:t>
      </w:r>
    </w:p>
    <w:p w:rsidR="006D3AAC" w:rsidRPr="003C69D8" w:rsidRDefault="006D3AAC" w:rsidP="006D3AAC">
      <w:pPr>
        <w:pStyle w:val="-LettreTexteGEDA"/>
        <w:numPr>
          <w:ilvl w:val="0"/>
          <w:numId w:val="25"/>
        </w:numPr>
        <w:tabs>
          <w:tab w:val="left" w:pos="1560"/>
        </w:tabs>
        <w:rPr>
          <w:rFonts w:asciiTheme="majorHAnsi" w:hAnsiTheme="majorHAnsi"/>
          <w:noProof w:val="0"/>
        </w:rPr>
      </w:pPr>
      <w:r w:rsidRPr="003C69D8">
        <w:rPr>
          <w:rFonts w:asciiTheme="majorHAnsi" w:hAnsiTheme="majorHAnsi"/>
          <w:noProof w:val="0"/>
        </w:rPr>
        <w:t>sur les inscriptions et signalétiques de circulation dans l’espace des jardins</w:t>
      </w:r>
    </w:p>
    <w:p w:rsidR="006D3AAC" w:rsidRPr="003C69D8" w:rsidRDefault="006D3AAC" w:rsidP="006D3AAC">
      <w:pPr>
        <w:pStyle w:val="-LettreTexteGEDA"/>
        <w:numPr>
          <w:ilvl w:val="0"/>
          <w:numId w:val="25"/>
        </w:numPr>
        <w:tabs>
          <w:tab w:val="left" w:pos="1560"/>
        </w:tabs>
        <w:rPr>
          <w:rFonts w:asciiTheme="majorHAnsi" w:hAnsiTheme="majorHAnsi"/>
          <w:noProof w:val="0"/>
        </w:rPr>
      </w:pPr>
      <w:r w:rsidRPr="003C69D8">
        <w:rPr>
          <w:rFonts w:asciiTheme="majorHAnsi" w:hAnsiTheme="majorHAnsi"/>
          <w:noProof w:val="0"/>
        </w:rPr>
        <w:t xml:space="preserve">sur les inscriptions et signalétiques apposés sur les bâtiments </w:t>
      </w:r>
    </w:p>
    <w:p w:rsidR="006D3AAC" w:rsidRPr="003C69D8" w:rsidRDefault="006D3AAC" w:rsidP="006D3AAC">
      <w:pPr>
        <w:pStyle w:val="-LettreTexteGEDA"/>
        <w:numPr>
          <w:ilvl w:val="0"/>
          <w:numId w:val="25"/>
        </w:numPr>
        <w:tabs>
          <w:tab w:val="left" w:pos="1560"/>
        </w:tabs>
        <w:rPr>
          <w:rFonts w:asciiTheme="majorHAnsi" w:hAnsiTheme="majorHAnsi"/>
          <w:noProof w:val="0"/>
        </w:rPr>
      </w:pPr>
      <w:r w:rsidRPr="003C69D8">
        <w:rPr>
          <w:rFonts w:asciiTheme="majorHAnsi" w:hAnsiTheme="majorHAnsi"/>
          <w:noProof w:val="0"/>
        </w:rPr>
        <w:t>sur les formulaires à remplir aux guichets et en ligne.</w:t>
      </w:r>
    </w:p>
    <w:p w:rsidR="006D3AAC" w:rsidRPr="003C69D8" w:rsidRDefault="006D3AAC" w:rsidP="006D3AAC">
      <w:pPr>
        <w:spacing w:before="240" w:after="120"/>
        <w:jc w:val="both"/>
        <w:rPr>
          <w:rFonts w:asciiTheme="majorHAnsi" w:eastAsia="Calibri" w:hAnsiTheme="majorHAnsi"/>
          <w:lang w:eastAsia="en-US"/>
        </w:rPr>
      </w:pPr>
      <w:r>
        <w:rPr>
          <w:rFonts w:asciiTheme="majorHAnsi" w:eastAsia="Calibri" w:hAnsiTheme="majorHAnsi"/>
          <w:lang w:eastAsia="en-US"/>
        </w:rPr>
        <w:t>L</w:t>
      </w:r>
      <w:r w:rsidRPr="003C69D8">
        <w:rPr>
          <w:rFonts w:asciiTheme="majorHAnsi" w:eastAsia="Calibri" w:hAnsiTheme="majorHAnsi"/>
          <w:lang w:eastAsia="en-US"/>
        </w:rPr>
        <w:t>e gouvernement a acté l’extension de cette signalétique à l’ensemble de l’administration et</w:t>
      </w:r>
      <w:r>
        <w:rPr>
          <w:rFonts w:asciiTheme="majorHAnsi" w:eastAsia="Calibri" w:hAnsiTheme="majorHAnsi"/>
          <w:lang w:eastAsia="en-US"/>
        </w:rPr>
        <w:t>,</w:t>
      </w:r>
      <w:r w:rsidRPr="003C69D8">
        <w:rPr>
          <w:rFonts w:asciiTheme="majorHAnsi" w:eastAsia="Calibri" w:hAnsiTheme="majorHAnsi"/>
          <w:lang w:eastAsia="en-US"/>
        </w:rPr>
        <w:t xml:space="preserve"> à terme, </w:t>
      </w:r>
      <w:r>
        <w:rPr>
          <w:rFonts w:asciiTheme="majorHAnsi" w:eastAsia="Calibri" w:hAnsiTheme="majorHAnsi"/>
          <w:lang w:eastAsia="en-US"/>
        </w:rPr>
        <w:t xml:space="preserve">le fait </w:t>
      </w:r>
      <w:r w:rsidRPr="003C69D8">
        <w:rPr>
          <w:rFonts w:asciiTheme="majorHAnsi" w:eastAsia="Calibri" w:hAnsiTheme="majorHAnsi"/>
          <w:lang w:eastAsia="en-US"/>
        </w:rPr>
        <w:t>de généraliser l’usage des langues polynésiennes pour les signalisations fonctionnelles telles que celles vis</w:t>
      </w:r>
      <w:r>
        <w:rPr>
          <w:rFonts w:asciiTheme="majorHAnsi" w:eastAsia="Calibri" w:hAnsiTheme="majorHAnsi"/>
          <w:lang w:eastAsia="en-US"/>
        </w:rPr>
        <w:t>ant la direction du centre-</w:t>
      </w:r>
      <w:r w:rsidRPr="003C69D8">
        <w:rPr>
          <w:rFonts w:asciiTheme="majorHAnsi" w:eastAsia="Calibri" w:hAnsiTheme="majorHAnsi"/>
          <w:lang w:eastAsia="en-US"/>
        </w:rPr>
        <w:t>ville, de la mairie, de la gendarmerie, de l’hôpit</w:t>
      </w:r>
      <w:r>
        <w:rPr>
          <w:rFonts w:asciiTheme="majorHAnsi" w:eastAsia="Calibri" w:hAnsiTheme="majorHAnsi"/>
          <w:lang w:eastAsia="en-US"/>
        </w:rPr>
        <w:t xml:space="preserve">al, </w:t>
      </w:r>
      <w:proofErr w:type="spellStart"/>
      <w:r>
        <w:rPr>
          <w:rFonts w:asciiTheme="majorHAnsi" w:eastAsia="Calibri" w:hAnsiTheme="majorHAnsi"/>
          <w:lang w:eastAsia="en-US"/>
        </w:rPr>
        <w:t>etc</w:t>
      </w:r>
      <w:proofErr w:type="spellEnd"/>
      <w:r>
        <w:rPr>
          <w:rFonts w:asciiTheme="majorHAnsi" w:eastAsia="Calibri" w:hAnsiTheme="majorHAnsi"/>
          <w:lang w:eastAsia="en-US"/>
        </w:rPr>
        <w:t xml:space="preserve">, </w:t>
      </w:r>
      <w:r w:rsidRPr="003C69D8">
        <w:rPr>
          <w:rFonts w:asciiTheme="majorHAnsi" w:eastAsia="Calibri" w:hAnsiTheme="majorHAnsi"/>
          <w:lang w:eastAsia="en-US"/>
        </w:rPr>
        <w:t>dans tous les archipels de la Polynésie française afin que nos langues sortent de leur confinement dans leurs aires respectifs.</w:t>
      </w:r>
    </w:p>
    <w:p w:rsidR="006D3AAC" w:rsidRPr="005E58FB" w:rsidRDefault="006D3AAC" w:rsidP="006D3AAC">
      <w:pPr>
        <w:spacing w:before="240" w:after="120"/>
        <w:jc w:val="both"/>
        <w:rPr>
          <w:rFonts w:asciiTheme="majorHAnsi" w:eastAsia="Calibri" w:hAnsiTheme="majorHAnsi"/>
          <w:lang w:eastAsia="en-US"/>
        </w:rPr>
      </w:pPr>
      <w:r w:rsidRPr="003C69D8">
        <w:rPr>
          <w:rFonts w:asciiTheme="majorHAnsi" w:eastAsia="Calibri" w:hAnsiTheme="majorHAnsi"/>
          <w:lang w:eastAsia="en-US"/>
        </w:rPr>
        <w:t xml:space="preserve">Un tel affichage en plus d’être pratique a une grande portée symbolique car il s’agit de donner une place formelle aux langues polynésiennes. Tant que celles-ci ne sont pas affichées, elles n’ont pas d’existence publique et, par conséquent, leur transmission familiale est également compromise. </w:t>
      </w:r>
    </w:p>
    <w:p w:rsidR="006D3AAC" w:rsidRDefault="006D3AAC" w:rsidP="006D3AAC">
      <w:pPr>
        <w:spacing w:before="240"/>
        <w:jc w:val="both"/>
        <w:rPr>
          <w:rFonts w:asciiTheme="majorHAnsi" w:eastAsia="Calibri" w:hAnsiTheme="majorHAnsi"/>
          <w:b/>
          <w:lang w:eastAsia="en-US"/>
        </w:rPr>
      </w:pPr>
    </w:p>
    <w:p w:rsidR="006D3AAC" w:rsidRPr="003C69D8" w:rsidRDefault="006D3AAC" w:rsidP="006D3AAC">
      <w:pPr>
        <w:pStyle w:val="-LettreObjetGEDA"/>
        <w:tabs>
          <w:tab w:val="left" w:pos="0"/>
        </w:tabs>
        <w:ind w:left="0" w:firstLine="0"/>
        <w:rPr>
          <w:rFonts w:asciiTheme="majorHAnsi" w:hAnsiTheme="majorHAnsi"/>
          <w:b/>
          <w:szCs w:val="24"/>
        </w:rPr>
      </w:pPr>
      <w:r w:rsidRPr="003C69D8">
        <w:rPr>
          <w:rFonts w:asciiTheme="majorHAnsi" w:hAnsiTheme="majorHAnsi"/>
          <w:b/>
          <w:szCs w:val="24"/>
        </w:rPr>
        <w:t xml:space="preserve">Océanisation de la cargaison de poissons et d’appâts du navire Shen Gang Shun </w:t>
      </w:r>
      <w:r>
        <w:rPr>
          <w:rFonts w:asciiTheme="majorHAnsi" w:hAnsiTheme="majorHAnsi"/>
          <w:b/>
          <w:szCs w:val="24"/>
        </w:rPr>
        <w:t>1</w:t>
      </w:r>
    </w:p>
    <w:p w:rsidR="006D3AAC" w:rsidRPr="003C69D8" w:rsidRDefault="006D3AAC" w:rsidP="006D3AAC">
      <w:pPr>
        <w:spacing w:before="240" w:after="120"/>
        <w:jc w:val="both"/>
        <w:rPr>
          <w:rFonts w:asciiTheme="majorHAnsi" w:eastAsia="Calibri" w:hAnsiTheme="majorHAnsi"/>
          <w:lang w:eastAsia="en-US"/>
        </w:rPr>
      </w:pPr>
      <w:r>
        <w:rPr>
          <w:rFonts w:asciiTheme="majorHAnsi" w:eastAsia="Calibri" w:hAnsiTheme="majorHAnsi"/>
          <w:lang w:eastAsia="en-US"/>
        </w:rPr>
        <w:t>Le C</w:t>
      </w:r>
      <w:r w:rsidRPr="003C69D8">
        <w:rPr>
          <w:rFonts w:asciiTheme="majorHAnsi" w:eastAsia="Calibri" w:hAnsiTheme="majorHAnsi"/>
          <w:lang w:eastAsia="en-US"/>
        </w:rPr>
        <w:t>onseil des ministres a examiné les conditions de l’</w:t>
      </w:r>
      <w:proofErr w:type="spellStart"/>
      <w:r w:rsidRPr="003C69D8">
        <w:rPr>
          <w:rFonts w:asciiTheme="majorHAnsi" w:eastAsia="Calibri" w:hAnsiTheme="majorHAnsi"/>
          <w:lang w:eastAsia="en-US"/>
        </w:rPr>
        <w:t>océanisation</w:t>
      </w:r>
      <w:proofErr w:type="spellEnd"/>
      <w:r w:rsidRPr="003C69D8">
        <w:rPr>
          <w:rFonts w:asciiTheme="majorHAnsi" w:eastAsia="Calibri" w:hAnsiTheme="majorHAnsi"/>
          <w:lang w:eastAsia="en-US"/>
        </w:rPr>
        <w:t xml:space="preserve"> de la cargaison de poissons et d’appâts du navire </w:t>
      </w:r>
      <w:proofErr w:type="spellStart"/>
      <w:r w:rsidRPr="003C69D8">
        <w:rPr>
          <w:rFonts w:asciiTheme="majorHAnsi" w:eastAsia="Calibri" w:hAnsiTheme="majorHAnsi"/>
          <w:lang w:eastAsia="en-US"/>
        </w:rPr>
        <w:t>Shen</w:t>
      </w:r>
      <w:proofErr w:type="spellEnd"/>
      <w:r w:rsidRPr="003C69D8">
        <w:rPr>
          <w:rFonts w:asciiTheme="majorHAnsi" w:eastAsia="Calibri" w:hAnsiTheme="majorHAnsi"/>
          <w:lang w:eastAsia="en-US"/>
        </w:rPr>
        <w:t xml:space="preserve"> Gang </w:t>
      </w:r>
      <w:proofErr w:type="spellStart"/>
      <w:r w:rsidRPr="003C69D8">
        <w:rPr>
          <w:rFonts w:asciiTheme="majorHAnsi" w:eastAsia="Calibri" w:hAnsiTheme="majorHAnsi"/>
          <w:lang w:eastAsia="en-US"/>
        </w:rPr>
        <w:t>Shun</w:t>
      </w:r>
      <w:proofErr w:type="spellEnd"/>
      <w:r w:rsidRPr="003C69D8">
        <w:rPr>
          <w:rFonts w:asciiTheme="majorHAnsi" w:eastAsia="Calibri" w:hAnsiTheme="majorHAnsi"/>
          <w:lang w:eastAsia="en-US"/>
        </w:rPr>
        <w:t xml:space="preserve"> 1, échoué sur le récif d’</w:t>
      </w:r>
      <w:proofErr w:type="spellStart"/>
      <w:r w:rsidRPr="003C69D8">
        <w:rPr>
          <w:rFonts w:asciiTheme="majorHAnsi" w:eastAsia="Calibri" w:hAnsiTheme="majorHAnsi"/>
          <w:lang w:eastAsia="en-US"/>
        </w:rPr>
        <w:t>Arutua</w:t>
      </w:r>
      <w:proofErr w:type="spellEnd"/>
      <w:r w:rsidRPr="003C69D8">
        <w:rPr>
          <w:rFonts w:asciiTheme="majorHAnsi" w:eastAsia="Calibri" w:hAnsiTheme="majorHAnsi"/>
          <w:lang w:eastAsia="en-US"/>
        </w:rPr>
        <w:t>. Il s’agit de 12 tonnes de poissons et environ 70 tonnes d’appâts, qui devront être immergées au nord d’</w:t>
      </w:r>
      <w:proofErr w:type="spellStart"/>
      <w:r w:rsidRPr="003C69D8">
        <w:rPr>
          <w:rFonts w:asciiTheme="majorHAnsi" w:eastAsia="Calibri" w:hAnsiTheme="majorHAnsi"/>
          <w:lang w:eastAsia="en-US"/>
        </w:rPr>
        <w:t>Arutua</w:t>
      </w:r>
      <w:proofErr w:type="spellEnd"/>
      <w:r w:rsidRPr="003C69D8">
        <w:rPr>
          <w:rFonts w:asciiTheme="majorHAnsi" w:eastAsia="Calibri" w:hAnsiTheme="majorHAnsi"/>
          <w:lang w:eastAsia="en-US"/>
        </w:rPr>
        <w:t>.</w:t>
      </w:r>
    </w:p>
    <w:p w:rsidR="006D3AAC" w:rsidRPr="003C69D8" w:rsidRDefault="006D3AAC" w:rsidP="006D3AAC">
      <w:pPr>
        <w:spacing w:before="240" w:after="120"/>
        <w:jc w:val="both"/>
        <w:rPr>
          <w:rFonts w:asciiTheme="majorHAnsi" w:eastAsia="Calibri" w:hAnsiTheme="majorHAnsi"/>
          <w:lang w:eastAsia="en-US"/>
        </w:rPr>
      </w:pPr>
      <w:r w:rsidRPr="003C69D8">
        <w:rPr>
          <w:rFonts w:asciiTheme="majorHAnsi" w:eastAsia="Calibri" w:hAnsiTheme="majorHAnsi"/>
          <w:lang w:eastAsia="en-US"/>
        </w:rPr>
        <w:t xml:space="preserve">Les matières à </w:t>
      </w:r>
      <w:proofErr w:type="spellStart"/>
      <w:r w:rsidRPr="003C69D8">
        <w:rPr>
          <w:rFonts w:asciiTheme="majorHAnsi" w:eastAsia="Calibri" w:hAnsiTheme="majorHAnsi"/>
          <w:lang w:eastAsia="en-US"/>
        </w:rPr>
        <w:t>océaniser</w:t>
      </w:r>
      <w:proofErr w:type="spellEnd"/>
      <w:r w:rsidRPr="003C69D8">
        <w:rPr>
          <w:rFonts w:asciiTheme="majorHAnsi" w:eastAsia="Calibri" w:hAnsiTheme="majorHAnsi"/>
          <w:lang w:eastAsia="en-US"/>
        </w:rPr>
        <w:t xml:space="preserve"> ne doivent contenir aucune matière polluante, comme des plastiques, papiers, cartons, bois</w:t>
      </w:r>
      <w:r>
        <w:rPr>
          <w:rFonts w:asciiTheme="majorHAnsi" w:eastAsia="Calibri" w:hAnsiTheme="majorHAnsi"/>
          <w:lang w:eastAsia="en-US"/>
        </w:rPr>
        <w:t xml:space="preserve"> ou métaux. </w:t>
      </w:r>
      <w:r w:rsidRPr="003C69D8">
        <w:rPr>
          <w:rFonts w:asciiTheme="majorHAnsi" w:eastAsia="Calibri" w:hAnsiTheme="majorHAnsi"/>
          <w:lang w:eastAsia="en-US"/>
        </w:rPr>
        <w:t>Le tri des déchets non organiques d</w:t>
      </w:r>
      <w:r>
        <w:rPr>
          <w:rFonts w:asciiTheme="majorHAnsi" w:eastAsia="Calibri" w:hAnsiTheme="majorHAnsi"/>
          <w:lang w:eastAsia="en-US"/>
        </w:rPr>
        <w:t>evra</w:t>
      </w:r>
      <w:r w:rsidRPr="003C69D8">
        <w:rPr>
          <w:rFonts w:asciiTheme="majorHAnsi" w:eastAsia="Calibri" w:hAnsiTheme="majorHAnsi"/>
          <w:lang w:eastAsia="en-US"/>
        </w:rPr>
        <w:t xml:space="preserve"> se faire sur le navire, avant leur mise en sac et leur transfert sans délai vers Tahiti pour être pris en charge dans les filières de traitement autorisées.</w:t>
      </w:r>
      <w:r>
        <w:rPr>
          <w:rFonts w:asciiTheme="majorHAnsi" w:eastAsia="Calibri" w:hAnsiTheme="majorHAnsi"/>
          <w:lang w:eastAsia="en-US"/>
        </w:rPr>
        <w:t xml:space="preserve"> </w:t>
      </w:r>
      <w:r w:rsidRPr="003C69D8">
        <w:rPr>
          <w:rFonts w:asciiTheme="majorHAnsi" w:eastAsia="Calibri" w:hAnsiTheme="majorHAnsi"/>
          <w:lang w:eastAsia="en-US"/>
        </w:rPr>
        <w:t>Le transfert des matières organiques et non-organiques par le</w:t>
      </w:r>
      <w:r>
        <w:rPr>
          <w:rFonts w:asciiTheme="majorHAnsi" w:eastAsia="Calibri" w:hAnsiTheme="majorHAnsi"/>
          <w:lang w:eastAsia="en-US"/>
        </w:rPr>
        <w:t xml:space="preserve"> lagon de l’atoll d’</w:t>
      </w:r>
      <w:proofErr w:type="spellStart"/>
      <w:r>
        <w:rPr>
          <w:rFonts w:asciiTheme="majorHAnsi" w:eastAsia="Calibri" w:hAnsiTheme="majorHAnsi"/>
          <w:lang w:eastAsia="en-US"/>
        </w:rPr>
        <w:t>Arutua</w:t>
      </w:r>
      <w:proofErr w:type="spellEnd"/>
      <w:r>
        <w:rPr>
          <w:rFonts w:asciiTheme="majorHAnsi" w:eastAsia="Calibri" w:hAnsiTheme="majorHAnsi"/>
          <w:lang w:eastAsia="en-US"/>
        </w:rPr>
        <w:t xml:space="preserve"> est en outre </w:t>
      </w:r>
      <w:r w:rsidRPr="003C69D8">
        <w:rPr>
          <w:rFonts w:asciiTheme="majorHAnsi" w:eastAsia="Calibri" w:hAnsiTheme="majorHAnsi"/>
          <w:lang w:eastAsia="en-US"/>
        </w:rPr>
        <w:t>interdit.</w:t>
      </w:r>
    </w:p>
    <w:p w:rsidR="006D3AAC" w:rsidRPr="003C69D8" w:rsidRDefault="006D3AAC" w:rsidP="006D3AAC">
      <w:pPr>
        <w:spacing w:before="240" w:after="120"/>
        <w:jc w:val="both"/>
        <w:rPr>
          <w:rFonts w:asciiTheme="majorHAnsi" w:eastAsia="Calibri" w:hAnsiTheme="majorHAnsi"/>
          <w:lang w:eastAsia="en-US"/>
        </w:rPr>
      </w:pPr>
      <w:r w:rsidRPr="003C69D8">
        <w:rPr>
          <w:rFonts w:asciiTheme="majorHAnsi" w:eastAsia="Calibri" w:hAnsiTheme="majorHAnsi"/>
          <w:lang w:eastAsia="en-US"/>
        </w:rPr>
        <w:lastRenderedPageBreak/>
        <w:t xml:space="preserve">La société devra rendre compte au Pays, dans un délai de 30 jours à compter de la fin des opérations, des quantités de matières organiques </w:t>
      </w:r>
      <w:proofErr w:type="spellStart"/>
      <w:r w:rsidRPr="003C69D8">
        <w:rPr>
          <w:rFonts w:asciiTheme="majorHAnsi" w:eastAsia="Calibri" w:hAnsiTheme="majorHAnsi"/>
          <w:lang w:eastAsia="en-US"/>
        </w:rPr>
        <w:t>océanisées</w:t>
      </w:r>
      <w:proofErr w:type="spellEnd"/>
      <w:r w:rsidRPr="003C69D8">
        <w:rPr>
          <w:rFonts w:asciiTheme="majorHAnsi" w:eastAsia="Calibri" w:hAnsiTheme="majorHAnsi"/>
          <w:lang w:eastAsia="en-US"/>
        </w:rPr>
        <w:t xml:space="preserve"> et celles, non-organiques, transférées sur Tahiti pour être traitées.</w:t>
      </w:r>
    </w:p>
    <w:p w:rsidR="006D3AAC" w:rsidRDefault="006D3AAC" w:rsidP="006D3AAC">
      <w:pPr>
        <w:spacing w:before="240"/>
        <w:jc w:val="both"/>
        <w:rPr>
          <w:rFonts w:asciiTheme="majorHAnsi" w:eastAsia="Calibri" w:hAnsiTheme="majorHAnsi"/>
          <w:b/>
          <w:lang w:eastAsia="en-US"/>
        </w:rPr>
      </w:pPr>
    </w:p>
    <w:p w:rsidR="006D3AAC" w:rsidRDefault="006D3AAC" w:rsidP="006D3AAC">
      <w:pPr>
        <w:spacing w:before="240"/>
        <w:jc w:val="both"/>
        <w:rPr>
          <w:rFonts w:asciiTheme="majorHAnsi" w:eastAsia="Calibri" w:hAnsiTheme="majorHAnsi"/>
          <w:b/>
          <w:lang w:eastAsia="en-US"/>
        </w:rPr>
      </w:pPr>
      <w:r w:rsidRPr="00A1111F">
        <w:rPr>
          <w:rFonts w:asciiTheme="majorHAnsi" w:eastAsia="Calibri" w:hAnsiTheme="majorHAnsi"/>
          <w:b/>
          <w:lang w:eastAsia="en-US"/>
        </w:rPr>
        <w:t xml:space="preserve">Dispositif d’aides pour la rentrée scolaire 2020 </w:t>
      </w:r>
      <w:r>
        <w:rPr>
          <w:rFonts w:asciiTheme="majorHAnsi" w:eastAsia="Calibri" w:hAnsiTheme="majorHAnsi"/>
          <w:b/>
          <w:lang w:eastAsia="en-US"/>
        </w:rPr>
        <w:t>-</w:t>
      </w:r>
      <w:r w:rsidRPr="00A1111F">
        <w:rPr>
          <w:rFonts w:asciiTheme="majorHAnsi" w:eastAsia="Calibri" w:hAnsiTheme="majorHAnsi"/>
          <w:b/>
          <w:lang w:eastAsia="en-US"/>
        </w:rPr>
        <w:t xml:space="preserve"> 2021</w:t>
      </w:r>
    </w:p>
    <w:p w:rsidR="006D3AAC" w:rsidRDefault="006D3AAC" w:rsidP="006D3AAC">
      <w:pPr>
        <w:pStyle w:val="-LettreTexteGEDA"/>
        <w:ind w:firstLine="0"/>
        <w:rPr>
          <w:rFonts w:asciiTheme="majorHAnsi" w:eastAsia="Calibri" w:hAnsiTheme="majorHAnsi"/>
          <w:b/>
          <w:noProof w:val="0"/>
          <w:szCs w:val="24"/>
          <w:lang w:eastAsia="en-US"/>
        </w:rPr>
      </w:pPr>
    </w:p>
    <w:p w:rsidR="000C2A16" w:rsidRPr="000C2A16" w:rsidRDefault="006D3AAC" w:rsidP="000C2A16">
      <w:pPr>
        <w:jc w:val="both"/>
        <w:rPr>
          <w:rFonts w:ascii="Cambria" w:hAnsi="Cambria"/>
          <w:lang w:eastAsia="fr-FR"/>
        </w:rPr>
      </w:pPr>
      <w:r w:rsidRPr="000C2A16">
        <w:rPr>
          <w:rFonts w:ascii="Cambria" w:hAnsi="Cambria"/>
          <w:bCs/>
        </w:rPr>
        <w:t>Sur proposition de la ministre de la Famille et des solidarités, le Conseil des ministres a approuvé un dispositif d’aides en faveur des familles pour rentrée scolaire 2020-2021. L’objectif est d’aider les familles à revenus modestes à faire face aux frais de rentrée scolaire (fournitures scolaires, frais vestimentaires, assurance scolaire…)</w:t>
      </w:r>
      <w:r w:rsidR="000C2A16" w:rsidRPr="000C2A16">
        <w:rPr>
          <w:rFonts w:ascii="Cambria" w:hAnsi="Cambria"/>
          <w:bCs/>
        </w:rPr>
        <w:t>.</w:t>
      </w:r>
      <w:r w:rsidR="000C2A16">
        <w:rPr>
          <w:rFonts w:ascii="Cambria" w:hAnsi="Cambria"/>
          <w:bCs/>
        </w:rPr>
        <w:t xml:space="preserve"> </w:t>
      </w:r>
      <w:r w:rsidR="000C2A16" w:rsidRPr="000C2A16">
        <w:rPr>
          <w:rFonts w:ascii="Cambria" w:hAnsi="Cambria"/>
        </w:rPr>
        <w:t xml:space="preserve">L’affiliation à un régime social </w:t>
      </w:r>
      <w:r w:rsidR="000C2A16">
        <w:rPr>
          <w:rFonts w:ascii="Cambria" w:hAnsi="Cambria"/>
        </w:rPr>
        <w:t xml:space="preserve">de la </w:t>
      </w:r>
      <w:r w:rsidR="000C2A16" w:rsidRPr="000C2A16">
        <w:rPr>
          <w:rFonts w:ascii="Cambria" w:hAnsi="Cambria"/>
        </w:rPr>
        <w:t>CPS doit être effective avant le lundi 27 juillet 2020.</w:t>
      </w:r>
    </w:p>
    <w:p w:rsidR="006D3AAC" w:rsidRPr="00A1111F" w:rsidRDefault="006D3AAC" w:rsidP="006D3AAC">
      <w:pPr>
        <w:pStyle w:val="-LettreTexteGEDA"/>
        <w:ind w:firstLine="0"/>
        <w:rPr>
          <w:rFonts w:asciiTheme="majorHAnsi" w:hAnsiTheme="majorHAnsi"/>
          <w:bCs/>
          <w:szCs w:val="24"/>
        </w:rPr>
      </w:pPr>
    </w:p>
    <w:p w:rsidR="006D3AAC" w:rsidRPr="00A1111F" w:rsidRDefault="006D3AAC" w:rsidP="006D3AAC">
      <w:pPr>
        <w:pStyle w:val="-LettreTexteGEDA"/>
        <w:numPr>
          <w:ilvl w:val="0"/>
          <w:numId w:val="26"/>
        </w:numPr>
        <w:rPr>
          <w:rFonts w:asciiTheme="majorHAnsi" w:hAnsiTheme="majorHAnsi"/>
          <w:bCs/>
          <w:szCs w:val="24"/>
        </w:rPr>
      </w:pPr>
      <w:r w:rsidRPr="00A1111F">
        <w:rPr>
          <w:rFonts w:asciiTheme="majorHAnsi" w:hAnsiTheme="majorHAnsi"/>
          <w:bCs/>
          <w:szCs w:val="24"/>
        </w:rPr>
        <w:t>Pour le régime des salariés sous conditions de ressources,</w:t>
      </w:r>
    </w:p>
    <w:p w:rsidR="006D3AAC" w:rsidRPr="00A1111F" w:rsidRDefault="006D3AAC" w:rsidP="006D3AAC">
      <w:pPr>
        <w:pStyle w:val="-LettreTexteGEDA"/>
        <w:numPr>
          <w:ilvl w:val="0"/>
          <w:numId w:val="26"/>
        </w:numPr>
        <w:rPr>
          <w:rFonts w:asciiTheme="majorHAnsi" w:hAnsiTheme="majorHAnsi"/>
          <w:bCs/>
          <w:szCs w:val="24"/>
        </w:rPr>
      </w:pPr>
      <w:r w:rsidRPr="00A1111F">
        <w:rPr>
          <w:rFonts w:asciiTheme="majorHAnsi" w:hAnsiTheme="majorHAnsi"/>
          <w:bCs/>
          <w:szCs w:val="24"/>
        </w:rPr>
        <w:t>Pour le régime de solidarité,</w:t>
      </w:r>
    </w:p>
    <w:p w:rsidR="006D3AAC" w:rsidRPr="00A1111F" w:rsidRDefault="006D3AAC" w:rsidP="006D3AAC">
      <w:pPr>
        <w:pStyle w:val="-LettreTexteGEDA"/>
        <w:numPr>
          <w:ilvl w:val="0"/>
          <w:numId w:val="26"/>
        </w:numPr>
        <w:rPr>
          <w:rFonts w:asciiTheme="majorHAnsi" w:hAnsiTheme="majorHAnsi"/>
          <w:bCs/>
          <w:szCs w:val="24"/>
        </w:rPr>
      </w:pPr>
      <w:r w:rsidRPr="00A1111F">
        <w:rPr>
          <w:rFonts w:asciiTheme="majorHAnsi" w:hAnsiTheme="majorHAnsi"/>
          <w:bCs/>
          <w:szCs w:val="24"/>
        </w:rPr>
        <w:t>Pour le régime des non salarié</w:t>
      </w:r>
      <w:r>
        <w:rPr>
          <w:rFonts w:asciiTheme="majorHAnsi" w:hAnsiTheme="majorHAnsi"/>
          <w:bCs/>
          <w:szCs w:val="24"/>
        </w:rPr>
        <w:t xml:space="preserve">s sous conditions de ressources </w:t>
      </w:r>
      <w:r w:rsidRPr="00DA12AE">
        <w:rPr>
          <w:rFonts w:asciiTheme="majorHAnsi" w:hAnsiTheme="majorHAnsi"/>
          <w:bCs/>
          <w:szCs w:val="24"/>
        </w:rPr>
        <w:t>(</w:t>
      </w:r>
      <w:r w:rsidRPr="00DA12AE">
        <w:rPr>
          <w:rFonts w:asciiTheme="majorHAnsi" w:eastAsiaTheme="minorHAnsi" w:hAnsiTheme="majorHAnsi" w:cs="CormorantGaramond-MediumItalic"/>
          <w:iCs/>
          <w:szCs w:val="24"/>
          <w:lang w:eastAsia="en-US"/>
        </w:rPr>
        <w:t>justifier d’un quotient familial inférieur ou égal à 25 000 fcfp)</w:t>
      </w:r>
    </w:p>
    <w:p w:rsidR="006D3AAC" w:rsidRPr="00A1111F" w:rsidRDefault="006D3AAC" w:rsidP="006D3AAC">
      <w:pPr>
        <w:autoSpaceDE w:val="0"/>
        <w:autoSpaceDN w:val="0"/>
        <w:adjustRightInd w:val="0"/>
        <w:jc w:val="both"/>
        <w:rPr>
          <w:rFonts w:asciiTheme="majorHAnsi" w:hAnsiTheme="majorHAnsi"/>
          <w:bCs/>
          <w:noProof/>
          <w:lang w:eastAsia="fr-FR"/>
        </w:rPr>
      </w:pPr>
    </w:p>
    <w:p w:rsidR="006D3AAC" w:rsidRPr="00A1111F" w:rsidRDefault="006D3AAC" w:rsidP="006D3AAC">
      <w:pPr>
        <w:autoSpaceDE w:val="0"/>
        <w:autoSpaceDN w:val="0"/>
        <w:adjustRightInd w:val="0"/>
        <w:jc w:val="both"/>
        <w:rPr>
          <w:rFonts w:asciiTheme="majorHAnsi" w:hAnsiTheme="majorHAnsi"/>
          <w:bCs/>
          <w:lang w:eastAsia="fr-FR"/>
        </w:rPr>
      </w:pPr>
      <w:r w:rsidRPr="00A1111F">
        <w:rPr>
          <w:rFonts w:asciiTheme="majorHAnsi" w:hAnsiTheme="majorHAnsi"/>
          <w:bCs/>
          <w:noProof/>
          <w:lang w:eastAsia="fr-FR"/>
        </w:rPr>
        <w:t xml:space="preserve">Cette aide est attribuée pour partie en espèces et pour partie en nature, respectivement </w:t>
      </w:r>
      <w:r w:rsidRPr="00A1111F">
        <w:rPr>
          <w:rFonts w:asciiTheme="majorHAnsi" w:hAnsiTheme="majorHAnsi"/>
          <w:bCs/>
          <w:lang w:eastAsia="fr-FR"/>
        </w:rPr>
        <w:t>comme suit :</w:t>
      </w:r>
    </w:p>
    <w:p w:rsidR="006D3AAC" w:rsidRPr="00A1111F" w:rsidRDefault="006D3AAC" w:rsidP="006D3AAC">
      <w:pPr>
        <w:autoSpaceDE w:val="0"/>
        <w:autoSpaceDN w:val="0"/>
        <w:adjustRightInd w:val="0"/>
        <w:jc w:val="both"/>
        <w:rPr>
          <w:rFonts w:asciiTheme="majorHAnsi" w:hAnsiTheme="majorHAnsi"/>
          <w:bCs/>
          <w:lang w:eastAsia="fr-FR"/>
        </w:rPr>
      </w:pPr>
    </w:p>
    <w:p w:rsidR="006D3AAC" w:rsidRPr="00A1111F" w:rsidRDefault="006D3AAC" w:rsidP="006D3AAC">
      <w:pPr>
        <w:pStyle w:val="-LettreTexteGEDA"/>
        <w:numPr>
          <w:ilvl w:val="0"/>
          <w:numId w:val="26"/>
        </w:numPr>
        <w:rPr>
          <w:rFonts w:asciiTheme="majorHAnsi" w:hAnsiTheme="majorHAnsi"/>
          <w:bCs/>
          <w:szCs w:val="24"/>
        </w:rPr>
      </w:pPr>
      <w:r w:rsidRPr="00A1111F">
        <w:rPr>
          <w:rFonts w:asciiTheme="majorHAnsi" w:hAnsiTheme="majorHAnsi"/>
          <w:bCs/>
          <w:szCs w:val="24"/>
        </w:rPr>
        <w:t>L’aide à l’achat de fournitures scolaires et du trousseau vestimentaire fait l’objet d’un versement directement sur le compte de l’assuré.</w:t>
      </w:r>
    </w:p>
    <w:p w:rsidR="006D3AAC" w:rsidRPr="00A1111F" w:rsidRDefault="006D3AAC" w:rsidP="006D3AAC">
      <w:pPr>
        <w:autoSpaceDE w:val="0"/>
        <w:autoSpaceDN w:val="0"/>
        <w:adjustRightInd w:val="0"/>
        <w:jc w:val="both"/>
        <w:rPr>
          <w:rFonts w:asciiTheme="majorHAnsi" w:eastAsiaTheme="minorHAnsi" w:hAnsiTheme="majorHAnsi" w:cs="CormorantGaramond-Medium"/>
          <w:lang w:eastAsia="en-US"/>
        </w:rPr>
      </w:pPr>
    </w:p>
    <w:p w:rsidR="006D3AAC" w:rsidRPr="00A1111F" w:rsidRDefault="006D3AAC" w:rsidP="006D3AAC">
      <w:pPr>
        <w:pStyle w:val="Paragraphedeliste"/>
        <w:numPr>
          <w:ilvl w:val="0"/>
          <w:numId w:val="26"/>
        </w:numPr>
        <w:autoSpaceDE w:val="0"/>
        <w:autoSpaceDN w:val="0"/>
        <w:adjustRightInd w:val="0"/>
        <w:jc w:val="both"/>
        <w:rPr>
          <w:rFonts w:asciiTheme="majorHAnsi" w:eastAsiaTheme="minorHAnsi" w:hAnsiTheme="majorHAnsi" w:cs="CormorantGaramond-Medium"/>
          <w:sz w:val="24"/>
          <w:szCs w:val="24"/>
        </w:rPr>
      </w:pPr>
      <w:r w:rsidRPr="00A1111F">
        <w:rPr>
          <w:rFonts w:asciiTheme="majorHAnsi" w:eastAsiaTheme="minorHAnsi" w:hAnsiTheme="majorHAnsi" w:cs="CormorantGaramond-Medium"/>
          <w:sz w:val="24"/>
          <w:szCs w:val="24"/>
        </w:rPr>
        <w:t>La prise en charge de la prime de l’assurance scolaire et extra-scolaire est versée directement à l’assureur.</w:t>
      </w:r>
    </w:p>
    <w:p w:rsidR="006D3AAC" w:rsidRPr="00A1111F" w:rsidRDefault="006D3AAC" w:rsidP="006D3AAC">
      <w:pPr>
        <w:rPr>
          <w:rFonts w:asciiTheme="majorHAnsi" w:eastAsia="Calibri" w:hAnsiTheme="majorHAnsi"/>
          <w:u w:val="single"/>
          <w:lang w:eastAsia="en-US"/>
        </w:rPr>
      </w:pPr>
      <w:r w:rsidRPr="00A1111F">
        <w:rPr>
          <w:rFonts w:asciiTheme="majorHAnsi" w:eastAsia="Calibri" w:hAnsiTheme="majorHAnsi"/>
          <w:u w:val="single"/>
          <w:lang w:eastAsia="en-US"/>
        </w:rPr>
        <w:t>Pour les familles issues des trois régimes :</w:t>
      </w:r>
    </w:p>
    <w:p w:rsidR="006D3AAC" w:rsidRPr="00A1111F" w:rsidRDefault="006D3AAC" w:rsidP="006D3AAC">
      <w:pPr>
        <w:rPr>
          <w:rFonts w:asciiTheme="majorHAnsi" w:eastAsia="Calibri" w:hAnsiTheme="majorHAnsi"/>
          <w:lang w:eastAsia="en-US"/>
        </w:rPr>
      </w:pPr>
    </w:p>
    <w:p w:rsidR="006D3AAC" w:rsidRPr="00A1111F" w:rsidRDefault="006D3AAC" w:rsidP="006D3AAC">
      <w:pPr>
        <w:rPr>
          <w:rFonts w:asciiTheme="majorHAnsi" w:eastAsia="Calibri" w:hAnsiTheme="majorHAnsi"/>
          <w:lang w:eastAsia="en-US"/>
        </w:rPr>
      </w:pPr>
      <w:r w:rsidRPr="00A1111F">
        <w:rPr>
          <w:rFonts w:asciiTheme="majorHAnsi" w:eastAsia="Calibri" w:hAnsiTheme="majorHAnsi"/>
          <w:lang w:eastAsia="en-US"/>
        </w:rPr>
        <w:t>La participation en numéraire sert à faire face à tous les frais de la</w:t>
      </w:r>
      <w:r>
        <w:rPr>
          <w:rFonts w:asciiTheme="majorHAnsi" w:eastAsia="Calibri" w:hAnsiTheme="majorHAnsi"/>
          <w:lang w:eastAsia="en-US"/>
        </w:rPr>
        <w:t xml:space="preserve"> rentrée scolaire (fournitures </w:t>
      </w:r>
      <w:r w:rsidRPr="00A1111F">
        <w:rPr>
          <w:rFonts w:asciiTheme="majorHAnsi" w:eastAsia="Calibri" w:hAnsiTheme="majorHAnsi"/>
          <w:lang w:eastAsia="en-US"/>
        </w:rPr>
        <w:t xml:space="preserve">scolaires). Elle est déterminée selon l’âge de l’enfant scolarisé : </w:t>
      </w:r>
    </w:p>
    <w:p w:rsidR="006D3AAC" w:rsidRPr="00A1111F" w:rsidRDefault="006D3AAC" w:rsidP="006D3AAC">
      <w:pPr>
        <w:rPr>
          <w:rFonts w:asciiTheme="majorHAnsi" w:eastAsia="Calibri" w:hAnsiTheme="majorHAnsi"/>
          <w:lang w:eastAsia="en-US"/>
        </w:rPr>
      </w:pPr>
    </w:p>
    <w:p w:rsidR="006D3AAC" w:rsidRPr="00A1111F" w:rsidRDefault="006D3AAC" w:rsidP="006D3AAC">
      <w:pPr>
        <w:pStyle w:val="Paragraphedeliste"/>
        <w:numPr>
          <w:ilvl w:val="0"/>
          <w:numId w:val="27"/>
        </w:numPr>
        <w:autoSpaceDE w:val="0"/>
        <w:autoSpaceDN w:val="0"/>
        <w:adjustRightInd w:val="0"/>
        <w:rPr>
          <w:rFonts w:asciiTheme="majorHAnsi" w:eastAsiaTheme="minorHAnsi" w:hAnsiTheme="majorHAnsi" w:cs="CormorantGaramond-Medium"/>
          <w:sz w:val="24"/>
          <w:szCs w:val="24"/>
        </w:rPr>
      </w:pPr>
      <w:r w:rsidRPr="00A1111F">
        <w:rPr>
          <w:rFonts w:asciiTheme="majorHAnsi" w:eastAsiaTheme="minorHAnsi" w:hAnsiTheme="majorHAnsi" w:cs="CormorantGaramond-Medium"/>
          <w:sz w:val="24"/>
          <w:szCs w:val="24"/>
        </w:rPr>
        <w:t xml:space="preserve">enfants de moins de 6 ans : 5 000 </w:t>
      </w:r>
      <w:proofErr w:type="spellStart"/>
      <w:r w:rsidRPr="00A1111F">
        <w:rPr>
          <w:rFonts w:asciiTheme="majorHAnsi" w:eastAsiaTheme="minorHAnsi" w:hAnsiTheme="majorHAnsi" w:cs="CormorantGaramond-Medium"/>
          <w:sz w:val="24"/>
          <w:szCs w:val="24"/>
        </w:rPr>
        <w:t>Fcfp</w:t>
      </w:r>
      <w:proofErr w:type="spellEnd"/>
    </w:p>
    <w:p w:rsidR="006D3AAC" w:rsidRPr="00A1111F" w:rsidRDefault="006D3AAC" w:rsidP="006D3AAC">
      <w:pPr>
        <w:pStyle w:val="Paragraphedeliste"/>
        <w:numPr>
          <w:ilvl w:val="0"/>
          <w:numId w:val="27"/>
        </w:numPr>
        <w:autoSpaceDE w:val="0"/>
        <w:autoSpaceDN w:val="0"/>
        <w:adjustRightInd w:val="0"/>
        <w:rPr>
          <w:rFonts w:asciiTheme="majorHAnsi" w:eastAsiaTheme="minorHAnsi" w:hAnsiTheme="majorHAnsi" w:cs="CormorantGaramond-Medium"/>
          <w:sz w:val="24"/>
          <w:szCs w:val="24"/>
        </w:rPr>
      </w:pPr>
      <w:r w:rsidRPr="00A1111F">
        <w:rPr>
          <w:rFonts w:asciiTheme="majorHAnsi" w:eastAsiaTheme="minorHAnsi" w:hAnsiTheme="majorHAnsi" w:cs="CormorantGaramond-Medium"/>
          <w:sz w:val="24"/>
          <w:szCs w:val="24"/>
        </w:rPr>
        <w:t xml:space="preserve">enfants de 6 ans à moins de 12 ans : 8 000 </w:t>
      </w:r>
      <w:proofErr w:type="spellStart"/>
      <w:r w:rsidRPr="00A1111F">
        <w:rPr>
          <w:rFonts w:asciiTheme="majorHAnsi" w:eastAsiaTheme="minorHAnsi" w:hAnsiTheme="majorHAnsi" w:cs="CormorantGaramond-Medium"/>
          <w:sz w:val="24"/>
          <w:szCs w:val="24"/>
        </w:rPr>
        <w:t>Fcfp</w:t>
      </w:r>
      <w:proofErr w:type="spellEnd"/>
    </w:p>
    <w:p w:rsidR="006D3AAC" w:rsidRPr="00A1111F" w:rsidRDefault="006D3AAC" w:rsidP="006D3AAC">
      <w:pPr>
        <w:pStyle w:val="Paragraphedeliste"/>
        <w:numPr>
          <w:ilvl w:val="0"/>
          <w:numId w:val="27"/>
        </w:numPr>
        <w:autoSpaceDE w:val="0"/>
        <w:autoSpaceDN w:val="0"/>
        <w:adjustRightInd w:val="0"/>
        <w:rPr>
          <w:rFonts w:asciiTheme="majorHAnsi" w:eastAsiaTheme="minorHAnsi" w:hAnsiTheme="majorHAnsi" w:cs="CormorantGaramond-Medium"/>
          <w:sz w:val="24"/>
          <w:szCs w:val="24"/>
        </w:rPr>
      </w:pPr>
      <w:r w:rsidRPr="00A1111F">
        <w:rPr>
          <w:rFonts w:asciiTheme="majorHAnsi" w:eastAsiaTheme="minorHAnsi" w:hAnsiTheme="majorHAnsi" w:cs="CormorantGaramond-Medium"/>
          <w:sz w:val="24"/>
          <w:szCs w:val="24"/>
        </w:rPr>
        <w:t xml:space="preserve">enfants de 12 ans à moins de 16 ans : 12 000 </w:t>
      </w:r>
      <w:proofErr w:type="spellStart"/>
      <w:r w:rsidRPr="00A1111F">
        <w:rPr>
          <w:rFonts w:asciiTheme="majorHAnsi" w:eastAsiaTheme="minorHAnsi" w:hAnsiTheme="majorHAnsi" w:cs="CormorantGaramond-Medium"/>
          <w:sz w:val="24"/>
          <w:szCs w:val="24"/>
        </w:rPr>
        <w:t>Fcfp</w:t>
      </w:r>
      <w:proofErr w:type="spellEnd"/>
    </w:p>
    <w:p w:rsidR="006D3AAC" w:rsidRPr="00DA12AE" w:rsidRDefault="006D3AAC" w:rsidP="006D3AAC">
      <w:pPr>
        <w:pStyle w:val="Paragraphedeliste"/>
        <w:numPr>
          <w:ilvl w:val="0"/>
          <w:numId w:val="27"/>
        </w:numPr>
        <w:rPr>
          <w:rFonts w:asciiTheme="majorHAnsi" w:hAnsiTheme="majorHAnsi"/>
          <w:sz w:val="24"/>
          <w:szCs w:val="24"/>
        </w:rPr>
      </w:pPr>
      <w:r w:rsidRPr="00A1111F">
        <w:rPr>
          <w:rFonts w:asciiTheme="majorHAnsi" w:eastAsiaTheme="minorHAnsi" w:hAnsiTheme="majorHAnsi" w:cs="CormorantGaramond-Medium"/>
          <w:sz w:val="24"/>
          <w:szCs w:val="24"/>
        </w:rPr>
        <w:t xml:space="preserve">enfants de 16 ans à 21 ans : 16 000 </w:t>
      </w:r>
      <w:proofErr w:type="spellStart"/>
      <w:r w:rsidRPr="00A1111F">
        <w:rPr>
          <w:rFonts w:asciiTheme="majorHAnsi" w:eastAsiaTheme="minorHAnsi" w:hAnsiTheme="majorHAnsi" w:cs="CormorantGaramond-Medium"/>
          <w:sz w:val="24"/>
          <w:szCs w:val="24"/>
        </w:rPr>
        <w:t>Fcfp</w:t>
      </w:r>
      <w:proofErr w:type="spellEnd"/>
    </w:p>
    <w:p w:rsidR="006D3AAC" w:rsidRPr="00A1111F" w:rsidRDefault="006D3AAC" w:rsidP="006D3AAC">
      <w:pPr>
        <w:rPr>
          <w:rFonts w:asciiTheme="majorHAnsi" w:eastAsiaTheme="minorHAnsi" w:hAnsiTheme="majorHAnsi" w:cs="CormorantGaramond-Medium"/>
        </w:rPr>
      </w:pPr>
    </w:p>
    <w:p w:rsidR="006D3AAC" w:rsidRPr="00A1111F" w:rsidRDefault="006D3AAC" w:rsidP="006D3AAC">
      <w:pPr>
        <w:rPr>
          <w:rFonts w:asciiTheme="majorHAnsi" w:eastAsia="Calibri" w:hAnsiTheme="majorHAnsi"/>
          <w:u w:val="single"/>
          <w:lang w:eastAsia="en-US"/>
        </w:rPr>
      </w:pPr>
      <w:r w:rsidRPr="00A1111F">
        <w:rPr>
          <w:rFonts w:asciiTheme="majorHAnsi" w:eastAsia="Calibri" w:hAnsiTheme="majorHAnsi"/>
          <w:u w:val="single"/>
          <w:lang w:eastAsia="en-US"/>
        </w:rPr>
        <w:t>Uniquement pour les familles du régime de solidarité et les familles du régime des</w:t>
      </w:r>
    </w:p>
    <w:p w:rsidR="006D3AAC" w:rsidRPr="00A1111F" w:rsidRDefault="006D3AAC" w:rsidP="006D3AAC">
      <w:pPr>
        <w:rPr>
          <w:rFonts w:asciiTheme="majorHAnsi" w:eastAsia="Calibri" w:hAnsiTheme="majorHAnsi"/>
          <w:u w:val="single"/>
          <w:lang w:eastAsia="en-US"/>
        </w:rPr>
      </w:pPr>
      <w:proofErr w:type="gramStart"/>
      <w:r w:rsidRPr="00A1111F">
        <w:rPr>
          <w:rFonts w:asciiTheme="majorHAnsi" w:eastAsia="Calibri" w:hAnsiTheme="majorHAnsi"/>
          <w:u w:val="single"/>
          <w:lang w:eastAsia="en-US"/>
        </w:rPr>
        <w:t>non-salariés</w:t>
      </w:r>
      <w:proofErr w:type="gramEnd"/>
      <w:r w:rsidRPr="00A1111F">
        <w:rPr>
          <w:rFonts w:asciiTheme="majorHAnsi" w:eastAsia="Calibri" w:hAnsiTheme="majorHAnsi"/>
          <w:u w:val="single"/>
          <w:lang w:eastAsia="en-US"/>
        </w:rPr>
        <w:t> </w:t>
      </w:r>
    </w:p>
    <w:p w:rsidR="006D3AAC" w:rsidRPr="00A1111F" w:rsidRDefault="006D3AAC" w:rsidP="006D3AAC">
      <w:pPr>
        <w:rPr>
          <w:rFonts w:asciiTheme="majorHAnsi" w:eastAsia="Calibri" w:hAnsiTheme="majorHAnsi"/>
          <w:u w:val="single"/>
          <w:lang w:eastAsia="en-US"/>
        </w:rPr>
      </w:pPr>
    </w:p>
    <w:p w:rsidR="006D3AAC" w:rsidRDefault="006D3AAC" w:rsidP="006D3AAC">
      <w:pPr>
        <w:autoSpaceDE w:val="0"/>
        <w:autoSpaceDN w:val="0"/>
        <w:adjustRightInd w:val="0"/>
        <w:jc w:val="both"/>
        <w:rPr>
          <w:rFonts w:asciiTheme="majorHAnsi" w:eastAsiaTheme="minorHAnsi" w:hAnsiTheme="majorHAnsi" w:cs="CormorantGaramond-Medium"/>
          <w:lang w:eastAsia="en-US"/>
        </w:rPr>
      </w:pPr>
      <w:r w:rsidRPr="00A1111F">
        <w:rPr>
          <w:rFonts w:asciiTheme="majorHAnsi" w:eastAsiaTheme="minorHAnsi" w:hAnsiTheme="majorHAnsi" w:cs="CormorantGaramond-Medium"/>
          <w:lang w:eastAsia="en-US"/>
        </w:rPr>
        <w:t>La participation en numéraire sert aussi à faire face aux frais vestimentaires :</w:t>
      </w:r>
    </w:p>
    <w:p w:rsidR="006D3AAC" w:rsidRPr="00A1111F" w:rsidRDefault="006D3AAC" w:rsidP="006D3AAC">
      <w:pPr>
        <w:autoSpaceDE w:val="0"/>
        <w:autoSpaceDN w:val="0"/>
        <w:adjustRightInd w:val="0"/>
        <w:jc w:val="both"/>
        <w:rPr>
          <w:rFonts w:asciiTheme="majorHAnsi" w:eastAsiaTheme="minorHAnsi" w:hAnsiTheme="majorHAnsi" w:cs="CormorantGaramond-Medium"/>
          <w:lang w:eastAsia="en-US"/>
        </w:rPr>
      </w:pPr>
    </w:p>
    <w:p w:rsidR="006D3AAC" w:rsidRPr="00A1111F" w:rsidRDefault="006D3AAC" w:rsidP="006D3AAC">
      <w:pPr>
        <w:pStyle w:val="Paragraphedeliste"/>
        <w:numPr>
          <w:ilvl w:val="0"/>
          <w:numId w:val="27"/>
        </w:numPr>
        <w:autoSpaceDE w:val="0"/>
        <w:autoSpaceDN w:val="0"/>
        <w:adjustRightInd w:val="0"/>
        <w:rPr>
          <w:rFonts w:asciiTheme="majorHAnsi" w:eastAsiaTheme="minorHAnsi" w:hAnsiTheme="majorHAnsi" w:cs="CormorantGaramond-Medium"/>
          <w:sz w:val="24"/>
          <w:szCs w:val="24"/>
        </w:rPr>
      </w:pPr>
      <w:r w:rsidRPr="00A1111F">
        <w:rPr>
          <w:rFonts w:asciiTheme="majorHAnsi" w:eastAsiaTheme="minorHAnsi" w:hAnsiTheme="majorHAnsi" w:cs="CormorantGaramond-Medium"/>
          <w:sz w:val="24"/>
          <w:szCs w:val="24"/>
        </w:rPr>
        <w:t xml:space="preserve">enfants de moins de 6 ans : 5 000 </w:t>
      </w:r>
      <w:proofErr w:type="spellStart"/>
      <w:r w:rsidRPr="00A1111F">
        <w:rPr>
          <w:rFonts w:asciiTheme="majorHAnsi" w:eastAsiaTheme="minorHAnsi" w:hAnsiTheme="majorHAnsi" w:cs="CormorantGaramond-Medium"/>
          <w:sz w:val="24"/>
          <w:szCs w:val="24"/>
        </w:rPr>
        <w:t>Fcfp</w:t>
      </w:r>
      <w:proofErr w:type="spellEnd"/>
    </w:p>
    <w:p w:rsidR="006D3AAC" w:rsidRPr="00A1111F" w:rsidRDefault="006D3AAC" w:rsidP="006D3AAC">
      <w:pPr>
        <w:pStyle w:val="Paragraphedeliste"/>
        <w:numPr>
          <w:ilvl w:val="0"/>
          <w:numId w:val="27"/>
        </w:numPr>
        <w:autoSpaceDE w:val="0"/>
        <w:autoSpaceDN w:val="0"/>
        <w:adjustRightInd w:val="0"/>
        <w:rPr>
          <w:rFonts w:asciiTheme="majorHAnsi" w:eastAsiaTheme="minorHAnsi" w:hAnsiTheme="majorHAnsi" w:cs="CormorantGaramond-Medium"/>
          <w:sz w:val="24"/>
          <w:szCs w:val="24"/>
        </w:rPr>
      </w:pPr>
      <w:r w:rsidRPr="00A1111F">
        <w:rPr>
          <w:rFonts w:asciiTheme="majorHAnsi" w:eastAsiaTheme="minorHAnsi" w:hAnsiTheme="majorHAnsi" w:cs="CormorantGaramond-Medium"/>
          <w:sz w:val="24"/>
          <w:szCs w:val="24"/>
        </w:rPr>
        <w:t xml:space="preserve">enfants de 6 ans à moins de 12 ans : 8 000 </w:t>
      </w:r>
      <w:proofErr w:type="spellStart"/>
      <w:r w:rsidRPr="00A1111F">
        <w:rPr>
          <w:rFonts w:asciiTheme="majorHAnsi" w:eastAsiaTheme="minorHAnsi" w:hAnsiTheme="majorHAnsi" w:cs="CormorantGaramond-Medium"/>
          <w:sz w:val="24"/>
          <w:szCs w:val="24"/>
        </w:rPr>
        <w:t>Fcfp</w:t>
      </w:r>
      <w:proofErr w:type="spellEnd"/>
    </w:p>
    <w:p w:rsidR="006D3AAC" w:rsidRPr="00A1111F" w:rsidRDefault="006D3AAC" w:rsidP="006D3AAC">
      <w:pPr>
        <w:pStyle w:val="Paragraphedeliste"/>
        <w:numPr>
          <w:ilvl w:val="0"/>
          <w:numId w:val="27"/>
        </w:numPr>
        <w:autoSpaceDE w:val="0"/>
        <w:autoSpaceDN w:val="0"/>
        <w:adjustRightInd w:val="0"/>
        <w:rPr>
          <w:rFonts w:asciiTheme="majorHAnsi" w:eastAsiaTheme="minorHAnsi" w:hAnsiTheme="majorHAnsi" w:cs="CormorantGaramond-Medium"/>
          <w:sz w:val="24"/>
          <w:szCs w:val="24"/>
        </w:rPr>
      </w:pPr>
      <w:r w:rsidRPr="00A1111F">
        <w:rPr>
          <w:rFonts w:asciiTheme="majorHAnsi" w:eastAsiaTheme="minorHAnsi" w:hAnsiTheme="majorHAnsi" w:cs="CormorantGaramond-Medium"/>
          <w:sz w:val="24"/>
          <w:szCs w:val="24"/>
        </w:rPr>
        <w:lastRenderedPageBreak/>
        <w:t xml:space="preserve">enfants de 12 ans à moins de 16 ans : 8 000 </w:t>
      </w:r>
      <w:proofErr w:type="spellStart"/>
      <w:r w:rsidRPr="00A1111F">
        <w:rPr>
          <w:rFonts w:asciiTheme="majorHAnsi" w:eastAsiaTheme="minorHAnsi" w:hAnsiTheme="majorHAnsi" w:cs="CormorantGaramond-Medium"/>
          <w:sz w:val="24"/>
          <w:szCs w:val="24"/>
        </w:rPr>
        <w:t>Fcfp</w:t>
      </w:r>
      <w:proofErr w:type="spellEnd"/>
    </w:p>
    <w:p w:rsidR="006D3AAC" w:rsidRPr="00A1111F" w:rsidRDefault="006D3AAC" w:rsidP="006D3AAC">
      <w:pPr>
        <w:pStyle w:val="Paragraphedeliste"/>
        <w:numPr>
          <w:ilvl w:val="0"/>
          <w:numId w:val="27"/>
        </w:numPr>
        <w:autoSpaceDE w:val="0"/>
        <w:autoSpaceDN w:val="0"/>
        <w:adjustRightInd w:val="0"/>
        <w:rPr>
          <w:rFonts w:asciiTheme="majorHAnsi" w:eastAsiaTheme="minorHAnsi" w:hAnsiTheme="majorHAnsi" w:cs="CormorantGaramond-Medium"/>
          <w:sz w:val="24"/>
          <w:szCs w:val="24"/>
        </w:rPr>
      </w:pPr>
      <w:r w:rsidRPr="00A1111F">
        <w:rPr>
          <w:rFonts w:asciiTheme="majorHAnsi" w:eastAsiaTheme="minorHAnsi" w:hAnsiTheme="majorHAnsi" w:cs="CormorantGaramond-Medium"/>
          <w:sz w:val="24"/>
          <w:szCs w:val="24"/>
        </w:rPr>
        <w:t xml:space="preserve">enfants de 16 ans à 21 ans : 8 000 </w:t>
      </w:r>
      <w:proofErr w:type="spellStart"/>
      <w:r w:rsidRPr="00A1111F">
        <w:rPr>
          <w:rFonts w:asciiTheme="majorHAnsi" w:eastAsiaTheme="minorHAnsi" w:hAnsiTheme="majorHAnsi" w:cs="CormorantGaramond-Medium"/>
          <w:sz w:val="24"/>
          <w:szCs w:val="24"/>
        </w:rPr>
        <w:t>Fcfp</w:t>
      </w:r>
      <w:proofErr w:type="spellEnd"/>
    </w:p>
    <w:p w:rsidR="006D3AAC" w:rsidRPr="00A1111F" w:rsidRDefault="006D3AAC" w:rsidP="006D3AAC">
      <w:pPr>
        <w:pStyle w:val="Paragraphedeliste"/>
        <w:autoSpaceDE w:val="0"/>
        <w:autoSpaceDN w:val="0"/>
        <w:adjustRightInd w:val="0"/>
        <w:rPr>
          <w:rFonts w:asciiTheme="majorHAnsi" w:eastAsiaTheme="minorHAnsi" w:hAnsiTheme="majorHAnsi" w:cs="CormorantGaramond-Medium"/>
          <w:sz w:val="24"/>
          <w:szCs w:val="24"/>
        </w:rPr>
      </w:pPr>
    </w:p>
    <w:p w:rsidR="006D3AAC" w:rsidRPr="00A1111F" w:rsidRDefault="006D3AAC" w:rsidP="006D3AAC">
      <w:pPr>
        <w:pStyle w:val="Paragraphedeliste"/>
        <w:autoSpaceDE w:val="0"/>
        <w:autoSpaceDN w:val="0"/>
        <w:adjustRightInd w:val="0"/>
        <w:ind w:left="0"/>
        <w:jc w:val="both"/>
        <w:rPr>
          <w:rFonts w:asciiTheme="majorHAnsi" w:hAnsiTheme="majorHAnsi"/>
          <w:sz w:val="24"/>
          <w:szCs w:val="24"/>
        </w:rPr>
      </w:pPr>
      <w:r w:rsidRPr="00A1111F">
        <w:rPr>
          <w:rFonts w:asciiTheme="majorHAnsi" w:hAnsiTheme="majorHAnsi"/>
          <w:sz w:val="24"/>
          <w:szCs w:val="24"/>
        </w:rPr>
        <w:t>Ainsi, pour un enfant scolarisé de moins de 6 ans relevant du RSPF ou du régime des non</w:t>
      </w:r>
    </w:p>
    <w:p w:rsidR="006D3AAC" w:rsidRDefault="006D3AAC" w:rsidP="006D3AAC">
      <w:pPr>
        <w:pStyle w:val="Paragraphedeliste"/>
        <w:autoSpaceDE w:val="0"/>
        <w:autoSpaceDN w:val="0"/>
        <w:adjustRightInd w:val="0"/>
        <w:ind w:left="0"/>
        <w:jc w:val="both"/>
        <w:rPr>
          <w:rFonts w:asciiTheme="majorHAnsi" w:hAnsiTheme="majorHAnsi"/>
          <w:sz w:val="24"/>
          <w:szCs w:val="24"/>
        </w:rPr>
      </w:pPr>
      <w:proofErr w:type="gramStart"/>
      <w:r w:rsidRPr="00A1111F">
        <w:rPr>
          <w:rFonts w:asciiTheme="majorHAnsi" w:hAnsiTheme="majorHAnsi"/>
          <w:sz w:val="24"/>
          <w:szCs w:val="24"/>
        </w:rPr>
        <w:t>salariés</w:t>
      </w:r>
      <w:proofErr w:type="gramEnd"/>
      <w:r w:rsidRPr="00A1111F">
        <w:rPr>
          <w:rFonts w:asciiTheme="majorHAnsi" w:hAnsiTheme="majorHAnsi"/>
          <w:sz w:val="24"/>
          <w:szCs w:val="24"/>
        </w:rPr>
        <w:t xml:space="preserve">, l’aide versée directement sur le compte de l’assuré sera de 10 000 </w:t>
      </w:r>
      <w:proofErr w:type="spellStart"/>
      <w:r w:rsidRPr="00A1111F">
        <w:rPr>
          <w:rFonts w:asciiTheme="majorHAnsi" w:eastAsiaTheme="minorHAnsi" w:hAnsiTheme="majorHAnsi" w:cs="CormorantGaramond-Medium"/>
          <w:sz w:val="24"/>
          <w:szCs w:val="24"/>
        </w:rPr>
        <w:t>Fcfp</w:t>
      </w:r>
      <w:proofErr w:type="spellEnd"/>
      <w:r w:rsidRPr="00A1111F">
        <w:rPr>
          <w:rFonts w:asciiTheme="majorHAnsi" w:hAnsiTheme="majorHAnsi"/>
          <w:sz w:val="24"/>
          <w:szCs w:val="24"/>
        </w:rPr>
        <w:t>.</w:t>
      </w:r>
    </w:p>
    <w:p w:rsidR="006D3AAC" w:rsidRPr="00A1111F" w:rsidRDefault="006D3AAC" w:rsidP="006D3AAC">
      <w:pPr>
        <w:pStyle w:val="Paragraphedeliste"/>
        <w:autoSpaceDE w:val="0"/>
        <w:autoSpaceDN w:val="0"/>
        <w:adjustRightInd w:val="0"/>
        <w:ind w:left="0"/>
        <w:jc w:val="both"/>
        <w:rPr>
          <w:rFonts w:asciiTheme="majorHAnsi" w:hAnsiTheme="majorHAnsi"/>
          <w:sz w:val="24"/>
          <w:szCs w:val="24"/>
        </w:rPr>
      </w:pPr>
      <w:r w:rsidRPr="00A1111F">
        <w:rPr>
          <w:rFonts w:asciiTheme="majorHAnsi" w:hAnsiTheme="majorHAnsi"/>
          <w:sz w:val="24"/>
          <w:szCs w:val="24"/>
        </w:rPr>
        <w:t xml:space="preserve">Pour un enfant entre 6 et 12 ans, l’assuré percevra une somme de 16 000 </w:t>
      </w:r>
      <w:proofErr w:type="spellStart"/>
      <w:r w:rsidRPr="00A1111F">
        <w:rPr>
          <w:rFonts w:asciiTheme="majorHAnsi" w:hAnsiTheme="majorHAnsi"/>
          <w:sz w:val="24"/>
          <w:szCs w:val="24"/>
        </w:rPr>
        <w:t>Fcfp</w:t>
      </w:r>
      <w:proofErr w:type="spellEnd"/>
    </w:p>
    <w:p w:rsidR="006D3AAC" w:rsidRPr="00A1111F" w:rsidRDefault="006D3AAC" w:rsidP="006D3AAC">
      <w:pPr>
        <w:pStyle w:val="Paragraphedeliste"/>
        <w:autoSpaceDE w:val="0"/>
        <w:autoSpaceDN w:val="0"/>
        <w:adjustRightInd w:val="0"/>
        <w:ind w:left="0"/>
        <w:jc w:val="both"/>
        <w:rPr>
          <w:rFonts w:asciiTheme="majorHAnsi" w:hAnsiTheme="majorHAnsi"/>
          <w:sz w:val="24"/>
          <w:szCs w:val="24"/>
        </w:rPr>
      </w:pPr>
      <w:r w:rsidRPr="00A1111F">
        <w:rPr>
          <w:rFonts w:asciiTheme="majorHAnsi" w:hAnsiTheme="majorHAnsi"/>
          <w:sz w:val="24"/>
          <w:szCs w:val="24"/>
        </w:rPr>
        <w:t xml:space="preserve">Pour </w:t>
      </w:r>
      <w:r>
        <w:rPr>
          <w:rFonts w:asciiTheme="majorHAnsi" w:hAnsiTheme="majorHAnsi"/>
          <w:sz w:val="24"/>
          <w:szCs w:val="24"/>
        </w:rPr>
        <w:t>un enfant entre 12 et 16 ans,</w:t>
      </w:r>
      <w:r w:rsidRPr="00A1111F">
        <w:rPr>
          <w:rFonts w:asciiTheme="majorHAnsi" w:hAnsiTheme="majorHAnsi"/>
          <w:sz w:val="24"/>
          <w:szCs w:val="24"/>
        </w:rPr>
        <w:t xml:space="preserve"> cette aide sera de 20 000 </w:t>
      </w:r>
      <w:proofErr w:type="spellStart"/>
      <w:r w:rsidRPr="00A1111F">
        <w:rPr>
          <w:rFonts w:asciiTheme="majorHAnsi" w:eastAsiaTheme="minorHAnsi" w:hAnsiTheme="majorHAnsi" w:cs="CormorantGaramond-Medium"/>
          <w:sz w:val="24"/>
          <w:szCs w:val="24"/>
        </w:rPr>
        <w:t>Fcfp</w:t>
      </w:r>
      <w:proofErr w:type="spellEnd"/>
    </w:p>
    <w:p w:rsidR="006D3AAC" w:rsidRPr="00A1111F" w:rsidRDefault="006D3AAC" w:rsidP="006D3AAC">
      <w:pPr>
        <w:pStyle w:val="Paragraphedeliste"/>
        <w:autoSpaceDE w:val="0"/>
        <w:autoSpaceDN w:val="0"/>
        <w:adjustRightInd w:val="0"/>
        <w:ind w:left="0"/>
        <w:jc w:val="both"/>
        <w:rPr>
          <w:rFonts w:asciiTheme="majorHAnsi" w:eastAsiaTheme="minorHAnsi" w:hAnsiTheme="majorHAnsi" w:cs="CormorantGaramond-Medium"/>
          <w:sz w:val="24"/>
          <w:szCs w:val="24"/>
        </w:rPr>
      </w:pPr>
      <w:r w:rsidRPr="00A1111F">
        <w:rPr>
          <w:rFonts w:asciiTheme="majorHAnsi" w:hAnsiTheme="majorHAnsi"/>
          <w:sz w:val="24"/>
          <w:szCs w:val="24"/>
        </w:rPr>
        <w:t xml:space="preserve">Pour un enfant de plus de 16 ans, cette aide sera de 24 000 </w:t>
      </w:r>
      <w:proofErr w:type="spellStart"/>
      <w:r w:rsidRPr="00A1111F">
        <w:rPr>
          <w:rFonts w:asciiTheme="majorHAnsi" w:eastAsiaTheme="minorHAnsi" w:hAnsiTheme="majorHAnsi" w:cs="CormorantGaramond-Medium"/>
          <w:sz w:val="24"/>
          <w:szCs w:val="24"/>
        </w:rPr>
        <w:t>Fcfp</w:t>
      </w:r>
      <w:proofErr w:type="spellEnd"/>
    </w:p>
    <w:p w:rsidR="006D3AAC" w:rsidRPr="00A1111F" w:rsidRDefault="006D3AAC" w:rsidP="006D3AAC">
      <w:pPr>
        <w:pStyle w:val="Paragraphedeliste"/>
        <w:autoSpaceDE w:val="0"/>
        <w:autoSpaceDN w:val="0"/>
        <w:adjustRightInd w:val="0"/>
        <w:ind w:left="0"/>
        <w:jc w:val="both"/>
        <w:rPr>
          <w:rFonts w:asciiTheme="majorHAnsi" w:eastAsiaTheme="minorHAnsi" w:hAnsiTheme="majorHAnsi" w:cs="CormorantGaramond-Medium"/>
          <w:sz w:val="24"/>
          <w:szCs w:val="24"/>
        </w:rPr>
      </w:pPr>
    </w:p>
    <w:p w:rsidR="006D3AAC" w:rsidRPr="00A1111F" w:rsidRDefault="006D3AAC" w:rsidP="006D3AAC">
      <w:pPr>
        <w:spacing w:before="240"/>
        <w:jc w:val="both"/>
        <w:rPr>
          <w:rFonts w:asciiTheme="majorHAnsi" w:eastAsia="Calibri" w:hAnsiTheme="majorHAnsi"/>
          <w:b/>
          <w:lang w:eastAsia="en-US"/>
        </w:rPr>
      </w:pPr>
      <w:r w:rsidRPr="00A1111F">
        <w:rPr>
          <w:rFonts w:asciiTheme="majorHAnsi" w:eastAsia="Calibri" w:hAnsiTheme="majorHAnsi"/>
          <w:b/>
          <w:lang w:eastAsia="en-US"/>
        </w:rPr>
        <w:t>Versement du solde du déficit de l’assurance-maladie du régime général des salariés par le FADES</w:t>
      </w:r>
    </w:p>
    <w:p w:rsidR="006D3AAC" w:rsidRPr="00A1111F" w:rsidRDefault="006D3AAC" w:rsidP="006D3AAC">
      <w:pPr>
        <w:spacing w:before="240"/>
        <w:jc w:val="both"/>
        <w:rPr>
          <w:rFonts w:asciiTheme="majorHAnsi" w:eastAsia="Calibri" w:hAnsiTheme="majorHAnsi"/>
          <w:lang w:eastAsia="en-US"/>
        </w:rPr>
      </w:pPr>
      <w:r w:rsidRPr="00A1111F">
        <w:rPr>
          <w:rFonts w:asciiTheme="majorHAnsi" w:eastAsia="Calibri" w:hAnsiTheme="majorHAnsi"/>
          <w:lang w:eastAsia="en-US"/>
        </w:rPr>
        <w:t>Les mesures de confinement et la fermeture brutale de nos liaisons aériennes ont plongé très rapidement de nombreuses entreprises, dont celles dépendant directement ou indirectement du secteur touristique, dans une situation telle que le paiement des cotisations devenait impossible.</w:t>
      </w:r>
    </w:p>
    <w:p w:rsidR="006D3AAC" w:rsidRPr="009D6534" w:rsidRDefault="006D3AAC" w:rsidP="006D3AAC">
      <w:pPr>
        <w:spacing w:before="240"/>
        <w:jc w:val="both"/>
        <w:rPr>
          <w:rFonts w:asciiTheme="majorHAnsi" w:eastAsia="Calibri" w:hAnsiTheme="majorHAnsi"/>
          <w:lang w:eastAsia="en-US"/>
        </w:rPr>
      </w:pPr>
      <w:r w:rsidRPr="00A1111F">
        <w:rPr>
          <w:rFonts w:asciiTheme="majorHAnsi" w:eastAsia="Calibri" w:hAnsiTheme="majorHAnsi"/>
          <w:lang w:eastAsia="en-US"/>
        </w:rPr>
        <w:t>Ainsi, alors que les prestations demeurent identiques, le total des cotisations est réduit de près de 50%, occasionnant une tension insoutenable sur la trésorerie de la Caisse de</w:t>
      </w:r>
      <w:r w:rsidRPr="009D6534">
        <w:rPr>
          <w:rFonts w:asciiTheme="majorHAnsi" w:eastAsia="Calibri" w:hAnsiTheme="majorHAnsi"/>
          <w:lang w:eastAsia="en-US"/>
        </w:rPr>
        <w:t xml:space="preserve"> prévoyance sociale</w:t>
      </w:r>
      <w:r>
        <w:rPr>
          <w:rFonts w:asciiTheme="majorHAnsi" w:eastAsia="Calibri" w:hAnsiTheme="majorHAnsi"/>
          <w:lang w:eastAsia="en-US"/>
        </w:rPr>
        <w:t xml:space="preserve"> (CPS)</w:t>
      </w:r>
      <w:r w:rsidRPr="009D6534">
        <w:rPr>
          <w:rFonts w:asciiTheme="majorHAnsi" w:eastAsia="Calibri" w:hAnsiTheme="majorHAnsi"/>
          <w:lang w:eastAsia="en-US"/>
        </w:rPr>
        <w:t>. Les perspectives économiques des prochains mois ne permettant pas d’envisager un rattrapage à court terme, l’équilibre toujours fragile de notre protection sociale risque d’être rompu très rapidement.</w:t>
      </w:r>
    </w:p>
    <w:p w:rsidR="006D3AAC" w:rsidRPr="009D6534" w:rsidRDefault="006D3AAC" w:rsidP="006D3AAC">
      <w:pPr>
        <w:spacing w:before="240"/>
        <w:jc w:val="both"/>
        <w:rPr>
          <w:rFonts w:asciiTheme="majorHAnsi" w:eastAsia="Calibri" w:hAnsiTheme="majorHAnsi"/>
          <w:lang w:eastAsia="en-US"/>
        </w:rPr>
      </w:pPr>
      <w:r w:rsidRPr="009D6534">
        <w:rPr>
          <w:rFonts w:asciiTheme="majorHAnsi" w:eastAsia="Calibri" w:hAnsiTheme="majorHAnsi"/>
          <w:lang w:eastAsia="en-US"/>
        </w:rPr>
        <w:t>Afi</w:t>
      </w:r>
      <w:r>
        <w:rPr>
          <w:rFonts w:asciiTheme="majorHAnsi" w:eastAsia="Calibri" w:hAnsiTheme="majorHAnsi"/>
          <w:lang w:eastAsia="en-US"/>
        </w:rPr>
        <w:t>n de garantir le versement de</w:t>
      </w:r>
      <w:r w:rsidRPr="009D6534">
        <w:rPr>
          <w:rFonts w:asciiTheme="majorHAnsi" w:eastAsia="Calibri" w:hAnsiTheme="majorHAnsi"/>
          <w:lang w:eastAsia="en-US"/>
        </w:rPr>
        <w:t xml:space="preserve">s prestations jusqu’au 31 décembre </w:t>
      </w:r>
      <w:r>
        <w:rPr>
          <w:rFonts w:asciiTheme="majorHAnsi" w:eastAsia="Calibri" w:hAnsiTheme="majorHAnsi"/>
          <w:lang w:eastAsia="en-US"/>
        </w:rPr>
        <w:t>prochain</w:t>
      </w:r>
      <w:r w:rsidRPr="009D6534">
        <w:rPr>
          <w:rFonts w:asciiTheme="majorHAnsi" w:eastAsia="Calibri" w:hAnsiTheme="majorHAnsi"/>
          <w:lang w:eastAsia="en-US"/>
        </w:rPr>
        <w:t>, la Caisse de prévoyance sociale va devoir recourir à l’emprunt.</w:t>
      </w:r>
      <w:r>
        <w:rPr>
          <w:rFonts w:asciiTheme="majorHAnsi" w:eastAsia="Calibri" w:hAnsiTheme="majorHAnsi"/>
          <w:lang w:eastAsia="en-US"/>
        </w:rPr>
        <w:t xml:space="preserve"> </w:t>
      </w:r>
      <w:r w:rsidRPr="009D6534">
        <w:rPr>
          <w:rFonts w:asciiTheme="majorHAnsi" w:eastAsia="Calibri" w:hAnsiTheme="majorHAnsi"/>
          <w:lang w:eastAsia="en-US"/>
        </w:rPr>
        <w:t xml:space="preserve">Le collectif budgétaire n° 3, en cours </w:t>
      </w:r>
      <w:r>
        <w:rPr>
          <w:rFonts w:asciiTheme="majorHAnsi" w:eastAsia="Calibri" w:hAnsiTheme="majorHAnsi"/>
          <w:lang w:eastAsia="en-US"/>
        </w:rPr>
        <w:t>d’examen</w:t>
      </w:r>
      <w:r w:rsidRPr="009D6534">
        <w:rPr>
          <w:rFonts w:asciiTheme="majorHAnsi" w:eastAsia="Calibri" w:hAnsiTheme="majorHAnsi"/>
          <w:lang w:eastAsia="en-US"/>
        </w:rPr>
        <w:t xml:space="preserve"> à l’Assemblée, intègre l’emprunt de l’Agence Française de Développement (AFD</w:t>
      </w:r>
      <w:r>
        <w:rPr>
          <w:rFonts w:asciiTheme="majorHAnsi" w:eastAsia="Calibri" w:hAnsiTheme="majorHAnsi"/>
          <w:lang w:eastAsia="en-US"/>
        </w:rPr>
        <w:t xml:space="preserve">) à hauteur de 28,6 milliards </w:t>
      </w:r>
      <w:proofErr w:type="spellStart"/>
      <w:r>
        <w:rPr>
          <w:rFonts w:asciiTheme="majorHAnsi" w:eastAsia="Calibri" w:hAnsiTheme="majorHAnsi"/>
          <w:lang w:eastAsia="en-US"/>
        </w:rPr>
        <w:t>Fcfp</w:t>
      </w:r>
      <w:proofErr w:type="spellEnd"/>
      <w:r>
        <w:rPr>
          <w:rFonts w:asciiTheme="majorHAnsi" w:eastAsia="Calibri" w:hAnsiTheme="majorHAnsi"/>
          <w:lang w:eastAsia="en-US"/>
        </w:rPr>
        <w:t xml:space="preserve"> </w:t>
      </w:r>
      <w:r w:rsidRPr="009D6534">
        <w:rPr>
          <w:rFonts w:asciiTheme="majorHAnsi" w:eastAsia="Calibri" w:hAnsiTheme="majorHAnsi"/>
          <w:lang w:eastAsia="en-US"/>
        </w:rPr>
        <w:t>au profit du Pays. Cet emprunt a également  pour objet de soutenir le système de protection sociale polynésien.</w:t>
      </w:r>
    </w:p>
    <w:p w:rsidR="006D3AAC" w:rsidRPr="009D6534" w:rsidRDefault="006D3AAC" w:rsidP="006D3AAC">
      <w:pPr>
        <w:spacing w:before="240"/>
        <w:jc w:val="both"/>
        <w:rPr>
          <w:rFonts w:asciiTheme="majorHAnsi" w:eastAsia="Calibri" w:hAnsiTheme="majorHAnsi"/>
          <w:lang w:eastAsia="en-US"/>
        </w:rPr>
      </w:pPr>
      <w:r w:rsidRPr="009D6534">
        <w:rPr>
          <w:rFonts w:asciiTheme="majorHAnsi" w:eastAsia="Calibri" w:hAnsiTheme="majorHAnsi"/>
          <w:lang w:eastAsia="en-US"/>
        </w:rPr>
        <w:t xml:space="preserve">Le versement du solde du FADES par le Pays au profit de la CPS, dont le montant s’élève à la somme de 6.868.671.338 </w:t>
      </w:r>
      <w:proofErr w:type="spellStart"/>
      <w:r w:rsidRPr="009D6534">
        <w:rPr>
          <w:rFonts w:asciiTheme="majorHAnsi" w:eastAsia="Calibri" w:hAnsiTheme="majorHAnsi"/>
          <w:lang w:eastAsia="en-US"/>
        </w:rPr>
        <w:t>F</w:t>
      </w:r>
      <w:r>
        <w:rPr>
          <w:rFonts w:asciiTheme="majorHAnsi" w:eastAsia="Calibri" w:hAnsiTheme="majorHAnsi"/>
          <w:lang w:eastAsia="en-US"/>
        </w:rPr>
        <w:t>cfp</w:t>
      </w:r>
      <w:proofErr w:type="spellEnd"/>
      <w:r w:rsidRPr="009D6534">
        <w:rPr>
          <w:rFonts w:asciiTheme="majorHAnsi" w:eastAsia="Calibri" w:hAnsiTheme="majorHAnsi"/>
          <w:lang w:eastAsia="en-US"/>
        </w:rPr>
        <w:t>, viendra concourir à l’allègement de la charge d’emprunt de la Caisse de prévoyance sociale.</w:t>
      </w:r>
    </w:p>
    <w:p w:rsidR="000C2A16" w:rsidRDefault="000C2A16" w:rsidP="002045B4">
      <w:pPr>
        <w:spacing w:after="120"/>
        <w:jc w:val="both"/>
        <w:rPr>
          <w:rFonts w:asciiTheme="majorHAnsi" w:hAnsiTheme="majorHAnsi"/>
        </w:rPr>
      </w:pPr>
    </w:p>
    <w:p w:rsidR="00BC6E11" w:rsidRDefault="00BC6E11" w:rsidP="002045B4">
      <w:pPr>
        <w:spacing w:after="120"/>
        <w:jc w:val="both"/>
        <w:rPr>
          <w:rFonts w:asciiTheme="majorHAnsi" w:hAnsiTheme="majorHAnsi"/>
        </w:rPr>
      </w:pPr>
      <w:bookmarkStart w:id="1" w:name="_GoBack"/>
      <w:bookmarkEnd w:id="1"/>
    </w:p>
    <w:p w:rsidR="002045B4" w:rsidRDefault="002045B4" w:rsidP="002045B4">
      <w:pPr>
        <w:spacing w:after="120"/>
        <w:jc w:val="both"/>
        <w:rPr>
          <w:rFonts w:ascii="Cambria" w:hAnsi="Cambria"/>
          <w:b/>
          <w:bCs/>
          <w:lang w:eastAsia="en-US"/>
        </w:rPr>
      </w:pPr>
      <w:r>
        <w:rPr>
          <w:rFonts w:ascii="Cambria" w:hAnsi="Cambria"/>
          <w:b/>
          <w:bCs/>
        </w:rPr>
        <w:t>Projet de loi du Pays modifiant le Code de la route : conditions d’exercice des auto-écoles</w:t>
      </w:r>
    </w:p>
    <w:p w:rsidR="002045B4" w:rsidRDefault="002045B4" w:rsidP="002045B4">
      <w:pPr>
        <w:rPr>
          <w:rFonts w:ascii="Cambria" w:hAnsi="Cambria"/>
          <w:color w:val="1F497D"/>
          <w:lang w:eastAsia="fr-FR"/>
        </w:rPr>
      </w:pPr>
    </w:p>
    <w:p w:rsidR="002045B4" w:rsidRDefault="002045B4" w:rsidP="002045B4">
      <w:pPr>
        <w:pStyle w:val="-LettreTexteGEDA"/>
        <w:ind w:firstLine="0"/>
        <w:rPr>
          <w:rFonts w:ascii="Cambria" w:hAnsi="Cambria"/>
          <w:szCs w:val="24"/>
        </w:rPr>
      </w:pPr>
      <w:r>
        <w:rPr>
          <w:rFonts w:ascii="Cambria" w:hAnsi="Cambria"/>
        </w:rPr>
        <w:t>Le code de la route de la Polynésie française découle de la délibération de l’Assemblée du 24 juin 1985 modifiée portant police générale de la circulation routière. Ce code est le premier garant de la sécurité sur les routes, car il fixe des règles touchant à la fois les véhicules, les conducteurs, ainsi que toute activité pouvant avoir lieu sur les infrastructures routières en général.</w:t>
      </w:r>
    </w:p>
    <w:p w:rsidR="002045B4" w:rsidRDefault="002045B4" w:rsidP="002045B4">
      <w:pPr>
        <w:pStyle w:val="-LettreTexteGEDA"/>
        <w:ind w:firstLine="0"/>
        <w:rPr>
          <w:rFonts w:ascii="Cambria" w:hAnsi="Cambria"/>
          <w:sz w:val="20"/>
        </w:rPr>
      </w:pPr>
      <w:r>
        <w:rPr>
          <w:rFonts w:ascii="Cambria" w:hAnsi="Cambria"/>
        </w:rPr>
        <w:t xml:space="preserve">Cet ensemble de règles fait l’objet de réformes régulières, dictées par la nécessité de s’adapter aux évolutions des comportements des usagers, aux progrès technologiques du </w:t>
      </w:r>
      <w:r>
        <w:rPr>
          <w:rFonts w:ascii="Cambria" w:hAnsi="Cambria"/>
        </w:rPr>
        <w:lastRenderedPageBreak/>
        <w:t xml:space="preserve">secteur automobile et routier, mais aussi à l’environnement juridique, économique ou institutionnel global. </w:t>
      </w:r>
    </w:p>
    <w:p w:rsidR="002045B4" w:rsidRDefault="002045B4" w:rsidP="002045B4">
      <w:pPr>
        <w:pStyle w:val="-LettreTexteGEDA"/>
        <w:ind w:firstLine="0"/>
        <w:rPr>
          <w:rFonts w:ascii="Cambria" w:hAnsi="Cambria"/>
        </w:rPr>
      </w:pPr>
      <w:r>
        <w:rPr>
          <w:rFonts w:ascii="Cambria" w:hAnsi="Cambria"/>
        </w:rPr>
        <w:t>Plusieurs objectifs sont poursuivis par cette réforme du code de la route, en touchant plus particulièrement les conditions d’exercice des professions d’exploitant d’établissements et d’enseignant de la conduite des véhicules terrestres à moteur en Polynésie française. Les principaux objectifs de ce texte sont les suivants :</w:t>
      </w:r>
    </w:p>
    <w:p w:rsidR="002045B4" w:rsidRPr="001308E2" w:rsidRDefault="002045B4" w:rsidP="001308E2">
      <w:pPr>
        <w:pStyle w:val="-LettreTexteGEDA"/>
        <w:numPr>
          <w:ilvl w:val="0"/>
          <w:numId w:val="25"/>
        </w:numPr>
        <w:tabs>
          <w:tab w:val="left" w:pos="1560"/>
        </w:tabs>
        <w:rPr>
          <w:rFonts w:asciiTheme="majorHAnsi" w:hAnsiTheme="majorHAnsi"/>
          <w:noProof w:val="0"/>
        </w:rPr>
      </w:pPr>
      <w:r w:rsidRPr="001308E2">
        <w:rPr>
          <w:rFonts w:asciiTheme="majorHAnsi" w:hAnsiTheme="majorHAnsi"/>
          <w:noProof w:val="0"/>
        </w:rPr>
        <w:t xml:space="preserve">Il répond à la nécessité de mettre en place un texte d’accompagnement général des élèves en formation à la conduite et à la sécurité routière, initié par la loi du Pays du 5 décembre 2019 instaurant l’aide au financement du permis de conduire. </w:t>
      </w:r>
    </w:p>
    <w:p w:rsidR="002045B4" w:rsidRPr="001308E2" w:rsidRDefault="002045B4" w:rsidP="001308E2">
      <w:pPr>
        <w:pStyle w:val="-LettreTexteGEDA"/>
        <w:numPr>
          <w:ilvl w:val="0"/>
          <w:numId w:val="25"/>
        </w:numPr>
        <w:tabs>
          <w:tab w:val="left" w:pos="1560"/>
        </w:tabs>
        <w:rPr>
          <w:rFonts w:asciiTheme="majorHAnsi" w:hAnsiTheme="majorHAnsi"/>
          <w:noProof w:val="0"/>
        </w:rPr>
      </w:pPr>
      <w:r w:rsidRPr="001308E2">
        <w:rPr>
          <w:rFonts w:asciiTheme="majorHAnsi" w:hAnsiTheme="majorHAnsi"/>
          <w:noProof w:val="0"/>
        </w:rPr>
        <w:t xml:space="preserve">Compte tenu du contexte archipélagique de la Polynésie française, du développement des outils numériques, il est proposé d’élargir les moyens consacrés à l’enseignement de la conduite par la possibilité d’enseigner la théorie à distance. </w:t>
      </w:r>
    </w:p>
    <w:p w:rsidR="002045B4" w:rsidRPr="001308E2" w:rsidRDefault="002045B4" w:rsidP="001308E2">
      <w:pPr>
        <w:pStyle w:val="-LettreTexteGEDA"/>
        <w:numPr>
          <w:ilvl w:val="0"/>
          <w:numId w:val="25"/>
        </w:numPr>
        <w:tabs>
          <w:tab w:val="left" w:pos="1560"/>
        </w:tabs>
        <w:rPr>
          <w:rFonts w:asciiTheme="majorHAnsi" w:hAnsiTheme="majorHAnsi"/>
          <w:noProof w:val="0"/>
        </w:rPr>
      </w:pPr>
      <w:r w:rsidRPr="001308E2">
        <w:rPr>
          <w:rFonts w:asciiTheme="majorHAnsi" w:hAnsiTheme="majorHAnsi"/>
          <w:noProof w:val="0"/>
        </w:rPr>
        <w:t xml:space="preserve">Il prévoit la mise en place de la réglementation de l’apprentissage à titre non onéreux (aujourd’hui inexistant) de la conduite des véhicules à moteur de la catégorie B du permis de conduire afin de définir le cadre d’intervention du secteur associatif, dont la possibilité existe déjà pour les élèves en situation de handicap, ainsi que celui d’organismes publics chargés de la gestion d’un service public. Il ouvre ainsi la possibilité au CFPA de proposer des formations à la conduite à ses stagiaires afin de favoriser leur insertion professionnelle, mesure annoncée par le Président de la Polynésie française, lors de son discours d’ouverture de la session administrative de l’Assemblée de la Polynésie française en avril 2019. </w:t>
      </w:r>
    </w:p>
    <w:p w:rsidR="002045B4" w:rsidRPr="001308E2" w:rsidRDefault="002045B4" w:rsidP="001308E2">
      <w:pPr>
        <w:pStyle w:val="-LettreTexteGEDA"/>
        <w:numPr>
          <w:ilvl w:val="0"/>
          <w:numId w:val="25"/>
        </w:numPr>
        <w:tabs>
          <w:tab w:val="left" w:pos="1560"/>
        </w:tabs>
        <w:rPr>
          <w:rFonts w:asciiTheme="majorHAnsi" w:hAnsiTheme="majorHAnsi"/>
          <w:noProof w:val="0"/>
        </w:rPr>
      </w:pPr>
      <w:r w:rsidRPr="001308E2">
        <w:rPr>
          <w:rFonts w:asciiTheme="majorHAnsi" w:hAnsiTheme="majorHAnsi"/>
          <w:noProof w:val="0"/>
        </w:rPr>
        <w:t>Conduire étant un acte complexe, il est également apparu nécessaire de renforcer les actions de sensibilisation et la connaissance des règles de sécurité routière des élèves et des conducteurs, condition sine qua non de l'assurance d'une meilleure sécurité pour tous sur les routes, par les professionnels du secteur.</w:t>
      </w:r>
    </w:p>
    <w:p w:rsidR="002045B4" w:rsidRPr="001308E2" w:rsidRDefault="002045B4" w:rsidP="001308E2">
      <w:pPr>
        <w:pStyle w:val="-LettreTexteGEDA"/>
        <w:numPr>
          <w:ilvl w:val="0"/>
          <w:numId w:val="25"/>
        </w:numPr>
        <w:tabs>
          <w:tab w:val="left" w:pos="1560"/>
        </w:tabs>
        <w:rPr>
          <w:rFonts w:asciiTheme="majorHAnsi" w:hAnsiTheme="majorHAnsi"/>
          <w:noProof w:val="0"/>
        </w:rPr>
      </w:pPr>
      <w:r w:rsidRPr="001308E2">
        <w:rPr>
          <w:rFonts w:asciiTheme="majorHAnsi" w:hAnsiTheme="majorHAnsi"/>
          <w:noProof w:val="0"/>
        </w:rPr>
        <w:t>Par ailleurs, ce projet de loi du Pays vise aussi à mieux encadrer par la modernisation, la mise en cohérence et par l’adaptation au contexte local, du régime d’autorisation à l’exercice des professions d’exploitant d’établissements et d’enseignant de la conduite des véhicules terrestres à moteur en Polynésie française et de la sécurité routière. Les nouvelles dispositions précisent désormais les conditions de création, d’agrément, de mutation et de transmission des établissements d’enseignement de la conduite (auto-écoles).</w:t>
      </w:r>
    </w:p>
    <w:p w:rsidR="00EF2FA8" w:rsidRPr="000561CA" w:rsidRDefault="002045B4" w:rsidP="00BC6E11">
      <w:pPr>
        <w:pStyle w:val="-LettreTexteGEDA"/>
        <w:ind w:firstLine="0"/>
        <w:rPr>
          <w:rFonts w:ascii="Cambria" w:hAnsi="Cambria"/>
        </w:rPr>
      </w:pPr>
      <w:r>
        <w:rPr>
          <w:rFonts w:ascii="Cambria" w:hAnsi="Cambria"/>
        </w:rPr>
        <w:t>Ces activités professionnelles ne relevant pas expressément des matières confiées à l’Etat par la loi organique statutaire, la Polynésie française a compétence pour légiférer dans ce domaine. Enfin, ce projet de loi du Pays, issu d’une large concertation avec les professionnels du secteur, entend réorganiser les dispositions du code de la route afin d’en améliorer la lisibilité et procède à des réajustements techniques. Il a été soumis aux avis du Conseil économique social environnemental et culturel (CESEC) et de l’Autorité Polynésienne de la Concurrence (APC).</w:t>
      </w:r>
    </w:p>
    <w:p w:rsidR="008059E4" w:rsidRPr="00DA69B1" w:rsidRDefault="00264EF2" w:rsidP="00CD5D51">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sectPr w:rsidR="008059E4" w:rsidRPr="00DA69B1" w:rsidSect="00922ABB">
      <w:footerReference w:type="even" r:id="rId9"/>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68D" w:rsidRDefault="00DF668D">
      <w:r>
        <w:separator/>
      </w:r>
    </w:p>
  </w:endnote>
  <w:endnote w:type="continuationSeparator" w:id="0">
    <w:p w:rsidR="00DF668D" w:rsidRDefault="00DF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ormorantGaramond-MediumItalic">
    <w:panose1 w:val="00000000000000000000"/>
    <w:charset w:val="00"/>
    <w:family w:val="auto"/>
    <w:notTrueType/>
    <w:pitch w:val="default"/>
    <w:sig w:usb0="00000003" w:usb1="00000000" w:usb2="00000000" w:usb3="00000000" w:csb0="00000001" w:csb1="00000000"/>
  </w:font>
  <w:font w:name="CormorantGaramond-Mediu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DA2" w:rsidRDefault="00642DA2"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42DA2" w:rsidRDefault="00DF668D" w:rsidP="00922ABB">
    <w:pPr>
      <w:pStyle w:val="Pieddepage"/>
      <w:ind w:right="360"/>
    </w:pPr>
    <w:sdt>
      <w:sdtPr>
        <w:id w:val="969400743"/>
        <w:temporary/>
        <w:showingPlcHdr/>
      </w:sdtPr>
      <w:sdtEndPr/>
      <w:sdtContent>
        <w:r w:rsidR="00642DA2">
          <w:t>[Tapez le texte]</w:t>
        </w:r>
      </w:sdtContent>
    </w:sdt>
    <w:r w:rsidR="00642DA2">
      <w:ptab w:relativeTo="margin" w:alignment="center" w:leader="none"/>
    </w:r>
    <w:sdt>
      <w:sdtPr>
        <w:id w:val="969400748"/>
        <w:temporary/>
        <w:showingPlcHdr/>
      </w:sdtPr>
      <w:sdtEndPr/>
      <w:sdtContent>
        <w:r w:rsidR="00642DA2">
          <w:t>[Tapez le texte]</w:t>
        </w:r>
      </w:sdtContent>
    </w:sdt>
    <w:r w:rsidR="00642DA2">
      <w:ptab w:relativeTo="margin" w:alignment="right" w:leader="none"/>
    </w:r>
    <w:sdt>
      <w:sdtPr>
        <w:id w:val="969400753"/>
        <w:temporary/>
        <w:showingPlcHdr/>
      </w:sdtPr>
      <w:sdtEndPr/>
      <w:sdtContent>
        <w:r w:rsidR="00642DA2">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DA2" w:rsidRPr="00BA209E" w:rsidRDefault="00642DA2" w:rsidP="00922ABB">
    <w:pPr>
      <w:pStyle w:val="Pieddepage"/>
      <w:jc w:val="center"/>
      <w:rPr>
        <w:i/>
        <w:sz w:val="20"/>
        <w:szCs w:val="20"/>
      </w:rPr>
    </w:pPr>
    <w:r w:rsidRPr="00BA209E">
      <w:rPr>
        <w:i/>
        <w:sz w:val="20"/>
        <w:szCs w:val="20"/>
      </w:rPr>
      <w:t>Présidence de la Polynésie Française</w:t>
    </w:r>
  </w:p>
  <w:p w:rsidR="00642DA2" w:rsidRPr="00BA209E" w:rsidRDefault="00642DA2" w:rsidP="00922ABB">
    <w:pPr>
      <w:pStyle w:val="Pieddepage"/>
      <w:jc w:val="center"/>
      <w:rPr>
        <w:i/>
        <w:sz w:val="20"/>
        <w:szCs w:val="20"/>
      </w:rPr>
    </w:pPr>
    <w:r w:rsidRPr="00BA209E">
      <w:rPr>
        <w:i/>
        <w:sz w:val="20"/>
        <w:szCs w:val="20"/>
      </w:rPr>
      <w:t xml:space="preserve">Service </w:t>
    </w:r>
    <w:r>
      <w:rPr>
        <w:i/>
        <w:sz w:val="20"/>
        <w:szCs w:val="20"/>
      </w:rPr>
      <w:t>de la communication</w:t>
    </w:r>
  </w:p>
  <w:p w:rsidR="00642DA2" w:rsidRPr="00BA209E" w:rsidRDefault="00DF668D" w:rsidP="00922ABB">
    <w:pPr>
      <w:pStyle w:val="Pieddepage"/>
      <w:jc w:val="center"/>
      <w:rPr>
        <w:sz w:val="20"/>
        <w:szCs w:val="20"/>
      </w:rPr>
    </w:pPr>
    <w:hyperlink r:id="rId1" w:history="1">
      <w:r w:rsidR="00642DA2" w:rsidRPr="00E264FC">
        <w:rPr>
          <w:rStyle w:val="Lienhypertexte"/>
          <w:sz w:val="20"/>
        </w:rPr>
        <w:t>communication@presidence.pf</w:t>
      </w:r>
    </w:hyperlink>
    <w:r w:rsidR="00642DA2" w:rsidRPr="00BA209E">
      <w:rPr>
        <w:sz w:val="20"/>
        <w:szCs w:val="20"/>
      </w:rPr>
      <w:t xml:space="preserve"> – </w:t>
    </w:r>
    <w:r w:rsidR="00642DA2">
      <w:rPr>
        <w:sz w:val="20"/>
        <w:szCs w:val="20"/>
      </w:rPr>
      <w:t xml:space="preserve">40 </w:t>
    </w:r>
    <w:r w:rsidR="00642DA2" w:rsidRPr="00BA209E">
      <w:rPr>
        <w:sz w:val="20"/>
        <w:szCs w:val="20"/>
      </w:rPr>
      <w:t>47 20 00</w:t>
    </w:r>
  </w:p>
  <w:p w:rsidR="00642DA2" w:rsidRDefault="00642D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68D" w:rsidRDefault="00DF668D">
      <w:r>
        <w:separator/>
      </w:r>
    </w:p>
  </w:footnote>
  <w:footnote w:type="continuationSeparator" w:id="0">
    <w:p w:rsidR="00DF668D" w:rsidRDefault="00DF6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04085"/>
    <w:multiLevelType w:val="hybridMultilevel"/>
    <w:tmpl w:val="F4B0A10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0C15ECF"/>
    <w:multiLevelType w:val="singleLevel"/>
    <w:tmpl w:val="83CCB92C"/>
    <w:lvl w:ilvl="0">
      <w:start w:val="1"/>
      <w:numFmt w:val="none"/>
      <w:pStyle w:val="Titre4"/>
      <w:lvlText w:val="Réf. : "/>
      <w:legacy w:legacy="1" w:legacySpace="0" w:legacyIndent="851"/>
      <w:lvlJc w:val="left"/>
      <w:pPr>
        <w:ind w:left="851" w:hanging="851"/>
      </w:pPr>
      <w:rPr>
        <w:b/>
        <w:i w:val="0"/>
        <w:sz w:val="24"/>
        <w:u w:val="single"/>
      </w:rPr>
    </w:lvl>
  </w:abstractNum>
  <w:abstractNum w:abstractNumId="2">
    <w:nsid w:val="21865AD1"/>
    <w:multiLevelType w:val="hybridMultilevel"/>
    <w:tmpl w:val="45B6CBDC"/>
    <w:lvl w:ilvl="0" w:tplc="F38A9B02">
      <w:start w:val="3"/>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3">
    <w:nsid w:val="22AC5375"/>
    <w:multiLevelType w:val="hybridMultilevel"/>
    <w:tmpl w:val="190E9786"/>
    <w:lvl w:ilvl="0" w:tplc="4BC4190A">
      <w:numFmt w:val="bullet"/>
      <w:lvlText w:val="-"/>
      <w:lvlJc w:val="left"/>
      <w:pPr>
        <w:ind w:left="700" w:hanging="360"/>
      </w:pPr>
      <w:rPr>
        <w:rFonts w:ascii="Times New Roman" w:eastAsia="Times New Roman" w:hAnsi="Times New Roman" w:cs="Times New Roman" w:hint="default"/>
      </w:rPr>
    </w:lvl>
    <w:lvl w:ilvl="1" w:tplc="040C0003">
      <w:start w:val="1"/>
      <w:numFmt w:val="bullet"/>
      <w:lvlText w:val="o"/>
      <w:lvlJc w:val="left"/>
      <w:pPr>
        <w:ind w:left="1420" w:hanging="360"/>
      </w:pPr>
      <w:rPr>
        <w:rFonts w:ascii="Courier New" w:hAnsi="Courier New" w:cs="Courier New" w:hint="default"/>
      </w:rPr>
    </w:lvl>
    <w:lvl w:ilvl="2" w:tplc="040C0005">
      <w:start w:val="1"/>
      <w:numFmt w:val="bullet"/>
      <w:lvlText w:val=""/>
      <w:lvlJc w:val="left"/>
      <w:pPr>
        <w:ind w:left="2140" w:hanging="360"/>
      </w:pPr>
      <w:rPr>
        <w:rFonts w:ascii="Wingdings" w:hAnsi="Wingdings" w:hint="default"/>
      </w:rPr>
    </w:lvl>
    <w:lvl w:ilvl="3" w:tplc="040C0001">
      <w:start w:val="1"/>
      <w:numFmt w:val="bullet"/>
      <w:lvlText w:val=""/>
      <w:lvlJc w:val="left"/>
      <w:pPr>
        <w:ind w:left="2860" w:hanging="360"/>
      </w:pPr>
      <w:rPr>
        <w:rFonts w:ascii="Symbol" w:hAnsi="Symbol" w:hint="default"/>
      </w:rPr>
    </w:lvl>
    <w:lvl w:ilvl="4" w:tplc="040C0003">
      <w:start w:val="1"/>
      <w:numFmt w:val="bullet"/>
      <w:lvlText w:val="o"/>
      <w:lvlJc w:val="left"/>
      <w:pPr>
        <w:ind w:left="3580" w:hanging="360"/>
      </w:pPr>
      <w:rPr>
        <w:rFonts w:ascii="Courier New" w:hAnsi="Courier New" w:cs="Courier New" w:hint="default"/>
      </w:rPr>
    </w:lvl>
    <w:lvl w:ilvl="5" w:tplc="040C0005">
      <w:start w:val="1"/>
      <w:numFmt w:val="bullet"/>
      <w:lvlText w:val=""/>
      <w:lvlJc w:val="left"/>
      <w:pPr>
        <w:ind w:left="4300" w:hanging="360"/>
      </w:pPr>
      <w:rPr>
        <w:rFonts w:ascii="Wingdings" w:hAnsi="Wingdings" w:hint="default"/>
      </w:rPr>
    </w:lvl>
    <w:lvl w:ilvl="6" w:tplc="040C0001">
      <w:start w:val="1"/>
      <w:numFmt w:val="bullet"/>
      <w:lvlText w:val=""/>
      <w:lvlJc w:val="left"/>
      <w:pPr>
        <w:ind w:left="5020" w:hanging="360"/>
      </w:pPr>
      <w:rPr>
        <w:rFonts w:ascii="Symbol" w:hAnsi="Symbol" w:hint="default"/>
      </w:rPr>
    </w:lvl>
    <w:lvl w:ilvl="7" w:tplc="040C0003">
      <w:start w:val="1"/>
      <w:numFmt w:val="bullet"/>
      <w:lvlText w:val="o"/>
      <w:lvlJc w:val="left"/>
      <w:pPr>
        <w:ind w:left="5740" w:hanging="360"/>
      </w:pPr>
      <w:rPr>
        <w:rFonts w:ascii="Courier New" w:hAnsi="Courier New" w:cs="Courier New" w:hint="default"/>
      </w:rPr>
    </w:lvl>
    <w:lvl w:ilvl="8" w:tplc="040C0005">
      <w:start w:val="1"/>
      <w:numFmt w:val="bullet"/>
      <w:lvlText w:val=""/>
      <w:lvlJc w:val="left"/>
      <w:pPr>
        <w:ind w:left="6460" w:hanging="360"/>
      </w:pPr>
      <w:rPr>
        <w:rFonts w:ascii="Wingdings" w:hAnsi="Wingdings" w:hint="default"/>
      </w:rPr>
    </w:lvl>
  </w:abstractNum>
  <w:abstractNum w:abstractNumId="4">
    <w:nsid w:val="2F033B37"/>
    <w:multiLevelType w:val="hybridMultilevel"/>
    <w:tmpl w:val="C3763D74"/>
    <w:styleLink w:val="Style9import"/>
    <w:lvl w:ilvl="0" w:tplc="D48EF734">
      <w:start w:val="1"/>
      <w:numFmt w:val="bullet"/>
      <w:lvlText w:val="-"/>
      <w:lvlJc w:val="left"/>
      <w:pPr>
        <w:tabs>
          <w:tab w:val="num" w:pos="1778"/>
        </w:tabs>
        <w:ind w:left="106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58A468">
      <w:start w:val="1"/>
      <w:numFmt w:val="bullet"/>
      <w:lvlText w:val="o"/>
      <w:lvlJc w:val="left"/>
      <w:pPr>
        <w:tabs>
          <w:tab w:val="num" w:pos="2498"/>
        </w:tabs>
        <w:ind w:left="178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28DBB0">
      <w:start w:val="1"/>
      <w:numFmt w:val="bullet"/>
      <w:lvlText w:val="▪"/>
      <w:lvlJc w:val="left"/>
      <w:pPr>
        <w:tabs>
          <w:tab w:val="num" w:pos="3218"/>
        </w:tabs>
        <w:ind w:left="250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146B6A">
      <w:start w:val="1"/>
      <w:numFmt w:val="bullet"/>
      <w:lvlText w:val="•"/>
      <w:lvlJc w:val="left"/>
      <w:pPr>
        <w:tabs>
          <w:tab w:val="num" w:pos="3938"/>
        </w:tabs>
        <w:ind w:left="322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3C131E">
      <w:start w:val="1"/>
      <w:numFmt w:val="bullet"/>
      <w:lvlText w:val="o"/>
      <w:lvlJc w:val="left"/>
      <w:pPr>
        <w:tabs>
          <w:tab w:val="num" w:pos="4658"/>
        </w:tabs>
        <w:ind w:left="394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106CCE">
      <w:start w:val="1"/>
      <w:numFmt w:val="bullet"/>
      <w:lvlText w:val="▪"/>
      <w:lvlJc w:val="left"/>
      <w:pPr>
        <w:tabs>
          <w:tab w:val="num" w:pos="5378"/>
        </w:tabs>
        <w:ind w:left="466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E00A46">
      <w:start w:val="1"/>
      <w:numFmt w:val="bullet"/>
      <w:lvlText w:val="•"/>
      <w:lvlJc w:val="left"/>
      <w:pPr>
        <w:tabs>
          <w:tab w:val="num" w:pos="6098"/>
        </w:tabs>
        <w:ind w:left="538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4A8152">
      <w:start w:val="1"/>
      <w:numFmt w:val="bullet"/>
      <w:lvlText w:val="o"/>
      <w:lvlJc w:val="left"/>
      <w:pPr>
        <w:tabs>
          <w:tab w:val="num" w:pos="6818"/>
        </w:tabs>
        <w:ind w:left="610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84B7DE">
      <w:start w:val="1"/>
      <w:numFmt w:val="bullet"/>
      <w:lvlText w:val="▪"/>
      <w:lvlJc w:val="left"/>
      <w:pPr>
        <w:tabs>
          <w:tab w:val="num" w:pos="7538"/>
        </w:tabs>
        <w:ind w:left="682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363E30A0"/>
    <w:multiLevelType w:val="hybridMultilevel"/>
    <w:tmpl w:val="D5EC51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9AF36C0"/>
    <w:multiLevelType w:val="hybridMultilevel"/>
    <w:tmpl w:val="8392DAF6"/>
    <w:lvl w:ilvl="0" w:tplc="ED7A2018">
      <w:start w:val="16"/>
      <w:numFmt w:val="bullet"/>
      <w:lvlText w:val="-"/>
      <w:lvlJc w:val="left"/>
      <w:pPr>
        <w:ind w:left="1065" w:hanging="360"/>
      </w:pPr>
      <w:rPr>
        <w:rFonts w:ascii="Times New Roman" w:eastAsia="Times New Roman" w:hAnsi="Times New Roman" w:cs="Times New Roman" w:hint="default"/>
      </w:rPr>
    </w:lvl>
    <w:lvl w:ilvl="1" w:tplc="20000003" w:tentative="1">
      <w:start w:val="1"/>
      <w:numFmt w:val="bullet"/>
      <w:lvlText w:val="o"/>
      <w:lvlJc w:val="left"/>
      <w:pPr>
        <w:ind w:left="1785" w:hanging="360"/>
      </w:pPr>
      <w:rPr>
        <w:rFonts w:ascii="Courier New" w:hAnsi="Courier New" w:cs="Courier New" w:hint="default"/>
      </w:rPr>
    </w:lvl>
    <w:lvl w:ilvl="2" w:tplc="20000005" w:tentative="1">
      <w:start w:val="1"/>
      <w:numFmt w:val="bullet"/>
      <w:lvlText w:val=""/>
      <w:lvlJc w:val="left"/>
      <w:pPr>
        <w:ind w:left="2505" w:hanging="360"/>
      </w:pPr>
      <w:rPr>
        <w:rFonts w:ascii="Wingdings" w:hAnsi="Wingdings" w:hint="default"/>
      </w:rPr>
    </w:lvl>
    <w:lvl w:ilvl="3" w:tplc="20000001" w:tentative="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abstractNum w:abstractNumId="7">
    <w:nsid w:val="3B6E3CB6"/>
    <w:multiLevelType w:val="hybridMultilevel"/>
    <w:tmpl w:val="A7668B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9">
    <w:nsid w:val="40D3159D"/>
    <w:multiLevelType w:val="hybridMultilevel"/>
    <w:tmpl w:val="B9FEB730"/>
    <w:lvl w:ilvl="0" w:tplc="1E784C9E">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0">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1">
    <w:nsid w:val="488C6C28"/>
    <w:multiLevelType w:val="hybridMultilevel"/>
    <w:tmpl w:val="0F24425E"/>
    <w:lvl w:ilvl="0" w:tplc="4CD28BA0">
      <w:start w:val="251"/>
      <w:numFmt w:val="bullet"/>
      <w:lvlText w:val="­"/>
      <w:lvlJc w:val="left"/>
      <w:pPr>
        <w:ind w:left="1571" w:hanging="360"/>
      </w:pPr>
      <w:rPr>
        <w:rFonts w:ascii="Arial" w:eastAsia="Arial" w:hAnsi="Aria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2">
    <w:nsid w:val="4A666337"/>
    <w:multiLevelType w:val="hybridMultilevel"/>
    <w:tmpl w:val="CB447612"/>
    <w:lvl w:ilvl="0" w:tplc="15DCE854">
      <w:start w:val="1"/>
      <w:numFmt w:val="none"/>
      <w:pStyle w:val="-LettreAffairesuivieGEDA"/>
      <w:lvlText w:val="%1Affaire suivie par :"/>
      <w:lvlJc w:val="left"/>
      <w:pPr>
        <w:tabs>
          <w:tab w:val="num" w:pos="2880"/>
        </w:tabs>
        <w:ind w:left="1080" w:hanging="360"/>
      </w:pPr>
      <w:rPr>
        <w:rFonts w:hint="default"/>
        <w:b w:val="0"/>
        <w:i/>
        <w:sz w:val="18"/>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4EB53DC5"/>
    <w:multiLevelType w:val="hybridMultilevel"/>
    <w:tmpl w:val="F3CEC3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52D6960"/>
    <w:multiLevelType w:val="hybridMultilevel"/>
    <w:tmpl w:val="8662EA50"/>
    <w:lvl w:ilvl="0" w:tplc="B13CCB72">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55712553"/>
    <w:multiLevelType w:val="hybridMultilevel"/>
    <w:tmpl w:val="2B48AE8E"/>
    <w:lvl w:ilvl="0" w:tplc="040C000B">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6">
    <w:nsid w:val="582F4CE2"/>
    <w:multiLevelType w:val="hybridMultilevel"/>
    <w:tmpl w:val="9DC2B7F0"/>
    <w:lvl w:ilvl="0" w:tplc="EFEA912A">
      <w:start w:val="1"/>
      <w:numFmt w:val="decimal"/>
      <w:lvlText w:val="%1-"/>
      <w:lvlJc w:val="left"/>
      <w:pPr>
        <w:ind w:left="1778" w:hanging="360"/>
      </w:pPr>
      <w:rPr>
        <w:rFonts w:hint="default"/>
      </w:rPr>
    </w:lvl>
    <w:lvl w:ilvl="1" w:tplc="20000019" w:tentative="1">
      <w:start w:val="1"/>
      <w:numFmt w:val="lowerLetter"/>
      <w:lvlText w:val="%2."/>
      <w:lvlJc w:val="left"/>
      <w:pPr>
        <w:ind w:left="2498" w:hanging="360"/>
      </w:pPr>
    </w:lvl>
    <w:lvl w:ilvl="2" w:tplc="2000001B" w:tentative="1">
      <w:start w:val="1"/>
      <w:numFmt w:val="lowerRoman"/>
      <w:lvlText w:val="%3."/>
      <w:lvlJc w:val="right"/>
      <w:pPr>
        <w:ind w:left="3218" w:hanging="180"/>
      </w:pPr>
    </w:lvl>
    <w:lvl w:ilvl="3" w:tplc="2000000F" w:tentative="1">
      <w:start w:val="1"/>
      <w:numFmt w:val="decimal"/>
      <w:lvlText w:val="%4."/>
      <w:lvlJc w:val="left"/>
      <w:pPr>
        <w:ind w:left="3938" w:hanging="360"/>
      </w:pPr>
    </w:lvl>
    <w:lvl w:ilvl="4" w:tplc="20000019" w:tentative="1">
      <w:start w:val="1"/>
      <w:numFmt w:val="lowerLetter"/>
      <w:lvlText w:val="%5."/>
      <w:lvlJc w:val="left"/>
      <w:pPr>
        <w:ind w:left="4658" w:hanging="360"/>
      </w:pPr>
    </w:lvl>
    <w:lvl w:ilvl="5" w:tplc="2000001B" w:tentative="1">
      <w:start w:val="1"/>
      <w:numFmt w:val="lowerRoman"/>
      <w:lvlText w:val="%6."/>
      <w:lvlJc w:val="right"/>
      <w:pPr>
        <w:ind w:left="5378" w:hanging="180"/>
      </w:pPr>
    </w:lvl>
    <w:lvl w:ilvl="6" w:tplc="2000000F" w:tentative="1">
      <w:start w:val="1"/>
      <w:numFmt w:val="decimal"/>
      <w:lvlText w:val="%7."/>
      <w:lvlJc w:val="left"/>
      <w:pPr>
        <w:ind w:left="6098" w:hanging="360"/>
      </w:pPr>
    </w:lvl>
    <w:lvl w:ilvl="7" w:tplc="20000019" w:tentative="1">
      <w:start w:val="1"/>
      <w:numFmt w:val="lowerLetter"/>
      <w:lvlText w:val="%8."/>
      <w:lvlJc w:val="left"/>
      <w:pPr>
        <w:ind w:left="6818" w:hanging="360"/>
      </w:pPr>
    </w:lvl>
    <w:lvl w:ilvl="8" w:tplc="2000001B" w:tentative="1">
      <w:start w:val="1"/>
      <w:numFmt w:val="lowerRoman"/>
      <w:lvlText w:val="%9."/>
      <w:lvlJc w:val="right"/>
      <w:pPr>
        <w:ind w:left="7538" w:hanging="180"/>
      </w:pPr>
    </w:lvl>
  </w:abstractNum>
  <w:abstractNum w:abstractNumId="17">
    <w:nsid w:val="584F05CB"/>
    <w:multiLevelType w:val="hybridMultilevel"/>
    <w:tmpl w:val="DE282D32"/>
    <w:lvl w:ilvl="0" w:tplc="040C000B">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18">
    <w:nsid w:val="694014EA"/>
    <w:multiLevelType w:val="hybridMultilevel"/>
    <w:tmpl w:val="FDAA2E60"/>
    <w:lvl w:ilvl="0" w:tplc="E79841E8">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20">
    <w:nsid w:val="6B073BBC"/>
    <w:multiLevelType w:val="hybridMultilevel"/>
    <w:tmpl w:val="A7ACF21A"/>
    <w:lvl w:ilvl="0" w:tplc="1E784C9E">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EC25E1E"/>
    <w:multiLevelType w:val="hybridMultilevel"/>
    <w:tmpl w:val="47FAC7C6"/>
    <w:lvl w:ilvl="0" w:tplc="ACC46FE0">
      <w:numFmt w:val="bullet"/>
      <w:lvlText w:val="-"/>
      <w:lvlJc w:val="left"/>
      <w:pPr>
        <w:ind w:left="720" w:hanging="360"/>
      </w:pPr>
      <w:rPr>
        <w:rFonts w:ascii="Cambria" w:eastAsia="Calibri"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73205825"/>
    <w:multiLevelType w:val="singleLevel"/>
    <w:tmpl w:val="C20E3398"/>
    <w:lvl w:ilvl="0">
      <w:start w:val="1"/>
      <w:numFmt w:val="none"/>
      <w:pStyle w:val="-ActeAttenduConsidrantGEDA"/>
      <w:lvlText w:val="Considérant"/>
      <w:lvlJc w:val="left"/>
      <w:pPr>
        <w:tabs>
          <w:tab w:val="num" w:pos="1080"/>
        </w:tabs>
        <w:ind w:left="340" w:hanging="340"/>
      </w:pPr>
      <w:rPr>
        <w:rFonts w:hint="default"/>
        <w:sz w:val="20"/>
      </w:rPr>
    </w:lvl>
  </w:abstractNum>
  <w:abstractNum w:abstractNumId="23">
    <w:nsid w:val="792147B1"/>
    <w:multiLevelType w:val="hybridMultilevel"/>
    <w:tmpl w:val="446C46CE"/>
    <w:lvl w:ilvl="0" w:tplc="0A68BA86">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4">
    <w:nsid w:val="7DA1617E"/>
    <w:multiLevelType w:val="hybridMultilevel"/>
    <w:tmpl w:val="21AC3910"/>
    <w:lvl w:ilvl="0" w:tplc="1B7A7A88">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5">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abstractNum w:abstractNumId="26">
    <w:nsid w:val="7F6D4C86"/>
    <w:multiLevelType w:val="hybridMultilevel"/>
    <w:tmpl w:val="0F4C5D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5"/>
  </w:num>
  <w:num w:numId="4">
    <w:abstractNumId w:val="19"/>
  </w:num>
  <w:num w:numId="5">
    <w:abstractNumId w:val="22"/>
  </w:num>
  <w:num w:numId="6">
    <w:abstractNumId w:val="1"/>
  </w:num>
  <w:num w:numId="7">
    <w:abstractNumId w:val="4"/>
  </w:num>
  <w:num w:numId="8">
    <w:abstractNumId w:val="5"/>
  </w:num>
  <w:num w:numId="9">
    <w:abstractNumId w:val="11"/>
  </w:num>
  <w:num w:numId="10">
    <w:abstractNumId w:val="23"/>
  </w:num>
  <w:num w:numId="11">
    <w:abstractNumId w:val="6"/>
  </w:num>
  <w:num w:numId="12">
    <w:abstractNumId w:val="16"/>
  </w:num>
  <w:num w:numId="13">
    <w:abstractNumId w:val="2"/>
  </w:num>
  <w:num w:numId="14">
    <w:abstractNumId w:val="12"/>
  </w:num>
  <w:num w:numId="15">
    <w:abstractNumId w:val="26"/>
  </w:num>
  <w:num w:numId="16">
    <w:abstractNumId w:val="0"/>
  </w:num>
  <w:num w:numId="17">
    <w:abstractNumId w:val="9"/>
  </w:num>
  <w:num w:numId="18">
    <w:abstractNumId w:val="3"/>
  </w:num>
  <w:num w:numId="19">
    <w:abstractNumId w:val="20"/>
  </w:num>
  <w:num w:numId="20">
    <w:abstractNumId w:val="17"/>
  </w:num>
  <w:num w:numId="21">
    <w:abstractNumId w:val="21"/>
  </w:num>
  <w:num w:numId="22">
    <w:abstractNumId w:val="14"/>
  </w:num>
  <w:num w:numId="23">
    <w:abstractNumId w:val="18"/>
  </w:num>
  <w:num w:numId="24">
    <w:abstractNumId w:val="15"/>
  </w:num>
  <w:num w:numId="25">
    <w:abstractNumId w:val="24"/>
  </w:num>
  <w:num w:numId="26">
    <w:abstractNumId w:val="13"/>
  </w:num>
  <w:num w:numId="2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01FE8"/>
    <w:rsid w:val="00002B31"/>
    <w:rsid w:val="00011CE8"/>
    <w:rsid w:val="00015FF2"/>
    <w:rsid w:val="00021602"/>
    <w:rsid w:val="000224F9"/>
    <w:rsid w:val="00027CD3"/>
    <w:rsid w:val="0003093E"/>
    <w:rsid w:val="00033658"/>
    <w:rsid w:val="00040642"/>
    <w:rsid w:val="000442CB"/>
    <w:rsid w:val="000448E5"/>
    <w:rsid w:val="0004526C"/>
    <w:rsid w:val="00045E81"/>
    <w:rsid w:val="00047992"/>
    <w:rsid w:val="000508C8"/>
    <w:rsid w:val="000561CA"/>
    <w:rsid w:val="00063EA4"/>
    <w:rsid w:val="00064A61"/>
    <w:rsid w:val="000678D5"/>
    <w:rsid w:val="000728E0"/>
    <w:rsid w:val="0008409F"/>
    <w:rsid w:val="00086538"/>
    <w:rsid w:val="0008783B"/>
    <w:rsid w:val="00087CFE"/>
    <w:rsid w:val="0009440F"/>
    <w:rsid w:val="00094FC4"/>
    <w:rsid w:val="000A0CBC"/>
    <w:rsid w:val="000A7995"/>
    <w:rsid w:val="000B0B49"/>
    <w:rsid w:val="000B150B"/>
    <w:rsid w:val="000B4563"/>
    <w:rsid w:val="000B77CD"/>
    <w:rsid w:val="000C0F06"/>
    <w:rsid w:val="000C103D"/>
    <w:rsid w:val="000C2A16"/>
    <w:rsid w:val="000C3FED"/>
    <w:rsid w:val="000C44EB"/>
    <w:rsid w:val="000C55DA"/>
    <w:rsid w:val="000D41CD"/>
    <w:rsid w:val="000D5AC8"/>
    <w:rsid w:val="000D5EAC"/>
    <w:rsid w:val="000D60AF"/>
    <w:rsid w:val="000E790C"/>
    <w:rsid w:val="000F1E19"/>
    <w:rsid w:val="000F7373"/>
    <w:rsid w:val="001053EF"/>
    <w:rsid w:val="00112BB8"/>
    <w:rsid w:val="00114615"/>
    <w:rsid w:val="00121991"/>
    <w:rsid w:val="00121B8F"/>
    <w:rsid w:val="0012265F"/>
    <w:rsid w:val="00124A38"/>
    <w:rsid w:val="001260E1"/>
    <w:rsid w:val="001308E2"/>
    <w:rsid w:val="00131CED"/>
    <w:rsid w:val="00131F0F"/>
    <w:rsid w:val="00132659"/>
    <w:rsid w:val="00141919"/>
    <w:rsid w:val="001510DE"/>
    <w:rsid w:val="00164559"/>
    <w:rsid w:val="0016503A"/>
    <w:rsid w:val="00172F9E"/>
    <w:rsid w:val="001775EE"/>
    <w:rsid w:val="0018145E"/>
    <w:rsid w:val="00186F29"/>
    <w:rsid w:val="0019566B"/>
    <w:rsid w:val="001A2D2F"/>
    <w:rsid w:val="001A2EBB"/>
    <w:rsid w:val="001A5551"/>
    <w:rsid w:val="001A5B63"/>
    <w:rsid w:val="001A731D"/>
    <w:rsid w:val="001B1A33"/>
    <w:rsid w:val="001B28FD"/>
    <w:rsid w:val="001C2250"/>
    <w:rsid w:val="001C4DE4"/>
    <w:rsid w:val="001C5819"/>
    <w:rsid w:val="001C6C5E"/>
    <w:rsid w:val="001C6CF3"/>
    <w:rsid w:val="001C74FC"/>
    <w:rsid w:val="001D6BE1"/>
    <w:rsid w:val="001E0F84"/>
    <w:rsid w:val="001E128A"/>
    <w:rsid w:val="001E20C7"/>
    <w:rsid w:val="001E2C77"/>
    <w:rsid w:val="001E3419"/>
    <w:rsid w:val="001E3E58"/>
    <w:rsid w:val="001E4B80"/>
    <w:rsid w:val="001E547E"/>
    <w:rsid w:val="001E5D1D"/>
    <w:rsid w:val="001E5D7F"/>
    <w:rsid w:val="001E69FF"/>
    <w:rsid w:val="001F02DD"/>
    <w:rsid w:val="001F2760"/>
    <w:rsid w:val="001F6D55"/>
    <w:rsid w:val="002045B4"/>
    <w:rsid w:val="00216AFA"/>
    <w:rsid w:val="002206D4"/>
    <w:rsid w:val="0022221E"/>
    <w:rsid w:val="002345BD"/>
    <w:rsid w:val="00235683"/>
    <w:rsid w:val="002359E5"/>
    <w:rsid w:val="00243141"/>
    <w:rsid w:val="00247536"/>
    <w:rsid w:val="002512C5"/>
    <w:rsid w:val="00261E72"/>
    <w:rsid w:val="002648E4"/>
    <w:rsid w:val="00264EF2"/>
    <w:rsid w:val="00270AE2"/>
    <w:rsid w:val="00276B3E"/>
    <w:rsid w:val="00277481"/>
    <w:rsid w:val="00285425"/>
    <w:rsid w:val="00286EAD"/>
    <w:rsid w:val="00286FFA"/>
    <w:rsid w:val="002904DD"/>
    <w:rsid w:val="00292FC0"/>
    <w:rsid w:val="00297A93"/>
    <w:rsid w:val="002A1123"/>
    <w:rsid w:val="002A79DA"/>
    <w:rsid w:val="002B1B00"/>
    <w:rsid w:val="002B5710"/>
    <w:rsid w:val="002B5B92"/>
    <w:rsid w:val="002C05FC"/>
    <w:rsid w:val="002C134A"/>
    <w:rsid w:val="002C3C82"/>
    <w:rsid w:val="002C5958"/>
    <w:rsid w:val="002D0A26"/>
    <w:rsid w:val="002D5E49"/>
    <w:rsid w:val="002D6359"/>
    <w:rsid w:val="002E1D40"/>
    <w:rsid w:val="002E42D2"/>
    <w:rsid w:val="002F1933"/>
    <w:rsid w:val="002F1E93"/>
    <w:rsid w:val="002F733A"/>
    <w:rsid w:val="00306799"/>
    <w:rsid w:val="003107CB"/>
    <w:rsid w:val="003116D5"/>
    <w:rsid w:val="0031428F"/>
    <w:rsid w:val="00314D05"/>
    <w:rsid w:val="003175DF"/>
    <w:rsid w:val="0032141A"/>
    <w:rsid w:val="00331349"/>
    <w:rsid w:val="00335461"/>
    <w:rsid w:val="0033691B"/>
    <w:rsid w:val="003444A6"/>
    <w:rsid w:val="00347372"/>
    <w:rsid w:val="0035386E"/>
    <w:rsid w:val="00357DC7"/>
    <w:rsid w:val="003625D8"/>
    <w:rsid w:val="00366694"/>
    <w:rsid w:val="00374615"/>
    <w:rsid w:val="0037539F"/>
    <w:rsid w:val="00375466"/>
    <w:rsid w:val="0037614E"/>
    <w:rsid w:val="00376D41"/>
    <w:rsid w:val="00393D5F"/>
    <w:rsid w:val="00395780"/>
    <w:rsid w:val="00396E20"/>
    <w:rsid w:val="003A1378"/>
    <w:rsid w:val="003A3094"/>
    <w:rsid w:val="003A6507"/>
    <w:rsid w:val="003B14D7"/>
    <w:rsid w:val="003B57C8"/>
    <w:rsid w:val="003B5A14"/>
    <w:rsid w:val="003C5469"/>
    <w:rsid w:val="003D2A49"/>
    <w:rsid w:val="003D37E1"/>
    <w:rsid w:val="003D62F0"/>
    <w:rsid w:val="003E3D40"/>
    <w:rsid w:val="003E44BD"/>
    <w:rsid w:val="003E55EF"/>
    <w:rsid w:val="003E59BB"/>
    <w:rsid w:val="003F0DC9"/>
    <w:rsid w:val="003F3E11"/>
    <w:rsid w:val="00403CBD"/>
    <w:rsid w:val="004045BC"/>
    <w:rsid w:val="00407286"/>
    <w:rsid w:val="00407DBC"/>
    <w:rsid w:val="004119C3"/>
    <w:rsid w:val="00412883"/>
    <w:rsid w:val="0041338C"/>
    <w:rsid w:val="004138E7"/>
    <w:rsid w:val="00414234"/>
    <w:rsid w:val="00415AE9"/>
    <w:rsid w:val="00416ABB"/>
    <w:rsid w:val="0042162D"/>
    <w:rsid w:val="0042227C"/>
    <w:rsid w:val="00424B02"/>
    <w:rsid w:val="00432970"/>
    <w:rsid w:val="004419CA"/>
    <w:rsid w:val="004443F9"/>
    <w:rsid w:val="0044573A"/>
    <w:rsid w:val="00447307"/>
    <w:rsid w:val="00454BA7"/>
    <w:rsid w:val="00456F05"/>
    <w:rsid w:val="00464DBA"/>
    <w:rsid w:val="00466539"/>
    <w:rsid w:val="00471C2A"/>
    <w:rsid w:val="00477702"/>
    <w:rsid w:val="004824BE"/>
    <w:rsid w:val="004901D8"/>
    <w:rsid w:val="004945F1"/>
    <w:rsid w:val="004A0C8B"/>
    <w:rsid w:val="004B281C"/>
    <w:rsid w:val="004B389F"/>
    <w:rsid w:val="004C04C6"/>
    <w:rsid w:val="004C0B54"/>
    <w:rsid w:val="004D2C02"/>
    <w:rsid w:val="004D78E7"/>
    <w:rsid w:val="004E1879"/>
    <w:rsid w:val="004E59E4"/>
    <w:rsid w:val="004F1581"/>
    <w:rsid w:val="004F1C5F"/>
    <w:rsid w:val="004F2666"/>
    <w:rsid w:val="004F594B"/>
    <w:rsid w:val="004F6AB0"/>
    <w:rsid w:val="00500045"/>
    <w:rsid w:val="005019FE"/>
    <w:rsid w:val="005071D6"/>
    <w:rsid w:val="00511481"/>
    <w:rsid w:val="005115BC"/>
    <w:rsid w:val="005117FB"/>
    <w:rsid w:val="00514734"/>
    <w:rsid w:val="00526FDB"/>
    <w:rsid w:val="00537381"/>
    <w:rsid w:val="0054277A"/>
    <w:rsid w:val="00546CAE"/>
    <w:rsid w:val="00551CEE"/>
    <w:rsid w:val="00554294"/>
    <w:rsid w:val="00555562"/>
    <w:rsid w:val="005611E3"/>
    <w:rsid w:val="0057103B"/>
    <w:rsid w:val="00572539"/>
    <w:rsid w:val="0057273D"/>
    <w:rsid w:val="00580ED3"/>
    <w:rsid w:val="00581CCF"/>
    <w:rsid w:val="00582D1E"/>
    <w:rsid w:val="005942B2"/>
    <w:rsid w:val="0059665C"/>
    <w:rsid w:val="005968D2"/>
    <w:rsid w:val="00597666"/>
    <w:rsid w:val="005A1430"/>
    <w:rsid w:val="005A2DD5"/>
    <w:rsid w:val="005B25CA"/>
    <w:rsid w:val="005B7E08"/>
    <w:rsid w:val="005C0F65"/>
    <w:rsid w:val="005C23D4"/>
    <w:rsid w:val="005C542C"/>
    <w:rsid w:val="005C64E3"/>
    <w:rsid w:val="005D0C9C"/>
    <w:rsid w:val="005D1E56"/>
    <w:rsid w:val="005D300C"/>
    <w:rsid w:val="005D3628"/>
    <w:rsid w:val="005E110E"/>
    <w:rsid w:val="005E1F37"/>
    <w:rsid w:val="005E3D2E"/>
    <w:rsid w:val="005F11F1"/>
    <w:rsid w:val="005F1FF3"/>
    <w:rsid w:val="005F5786"/>
    <w:rsid w:val="005F67A7"/>
    <w:rsid w:val="006065EA"/>
    <w:rsid w:val="00610132"/>
    <w:rsid w:val="00620349"/>
    <w:rsid w:val="006220B2"/>
    <w:rsid w:val="00625CF0"/>
    <w:rsid w:val="00633CEC"/>
    <w:rsid w:val="006351F3"/>
    <w:rsid w:val="00636B0B"/>
    <w:rsid w:val="00637337"/>
    <w:rsid w:val="006404E4"/>
    <w:rsid w:val="00642DA2"/>
    <w:rsid w:val="00643DB5"/>
    <w:rsid w:val="00643F5E"/>
    <w:rsid w:val="0064491E"/>
    <w:rsid w:val="006453D4"/>
    <w:rsid w:val="00646D25"/>
    <w:rsid w:val="006531C2"/>
    <w:rsid w:val="006545ED"/>
    <w:rsid w:val="00654764"/>
    <w:rsid w:val="00655FF1"/>
    <w:rsid w:val="0066052A"/>
    <w:rsid w:val="006619B5"/>
    <w:rsid w:val="006701A9"/>
    <w:rsid w:val="00672ED4"/>
    <w:rsid w:val="00676F7E"/>
    <w:rsid w:val="00683D1F"/>
    <w:rsid w:val="00690C84"/>
    <w:rsid w:val="00691CAE"/>
    <w:rsid w:val="0069242B"/>
    <w:rsid w:val="00693A0D"/>
    <w:rsid w:val="00693F08"/>
    <w:rsid w:val="00697133"/>
    <w:rsid w:val="006A3579"/>
    <w:rsid w:val="006A6904"/>
    <w:rsid w:val="006B3196"/>
    <w:rsid w:val="006B3785"/>
    <w:rsid w:val="006B3B14"/>
    <w:rsid w:val="006B623F"/>
    <w:rsid w:val="006C3B44"/>
    <w:rsid w:val="006D3AAC"/>
    <w:rsid w:val="006E411F"/>
    <w:rsid w:val="006E478C"/>
    <w:rsid w:val="006E7470"/>
    <w:rsid w:val="006E76C6"/>
    <w:rsid w:val="006F13F3"/>
    <w:rsid w:val="006F16DF"/>
    <w:rsid w:val="006F2E69"/>
    <w:rsid w:val="006F3B1B"/>
    <w:rsid w:val="006F7090"/>
    <w:rsid w:val="007052A3"/>
    <w:rsid w:val="00706485"/>
    <w:rsid w:val="00706A5D"/>
    <w:rsid w:val="00711F71"/>
    <w:rsid w:val="007126F8"/>
    <w:rsid w:val="00716A05"/>
    <w:rsid w:val="00724158"/>
    <w:rsid w:val="0073038C"/>
    <w:rsid w:val="0073277F"/>
    <w:rsid w:val="00733923"/>
    <w:rsid w:val="00733EE6"/>
    <w:rsid w:val="00734600"/>
    <w:rsid w:val="00736200"/>
    <w:rsid w:val="00744311"/>
    <w:rsid w:val="00744E22"/>
    <w:rsid w:val="00745751"/>
    <w:rsid w:val="007466DF"/>
    <w:rsid w:val="00747E8F"/>
    <w:rsid w:val="007503DC"/>
    <w:rsid w:val="00753BF6"/>
    <w:rsid w:val="00762E29"/>
    <w:rsid w:val="00764607"/>
    <w:rsid w:val="0076469B"/>
    <w:rsid w:val="00767E72"/>
    <w:rsid w:val="00770EDA"/>
    <w:rsid w:val="0077109E"/>
    <w:rsid w:val="0077577E"/>
    <w:rsid w:val="00781048"/>
    <w:rsid w:val="00781933"/>
    <w:rsid w:val="007969D9"/>
    <w:rsid w:val="007A103C"/>
    <w:rsid w:val="007A6288"/>
    <w:rsid w:val="007A6645"/>
    <w:rsid w:val="007A699A"/>
    <w:rsid w:val="007A6D8A"/>
    <w:rsid w:val="007B2644"/>
    <w:rsid w:val="007B3B1E"/>
    <w:rsid w:val="007B3FE4"/>
    <w:rsid w:val="007B453D"/>
    <w:rsid w:val="007B5747"/>
    <w:rsid w:val="007C215C"/>
    <w:rsid w:val="007C4CCE"/>
    <w:rsid w:val="007D57D7"/>
    <w:rsid w:val="007D7D62"/>
    <w:rsid w:val="007E0471"/>
    <w:rsid w:val="007E4745"/>
    <w:rsid w:val="007E5AD4"/>
    <w:rsid w:val="007E5D80"/>
    <w:rsid w:val="007E6573"/>
    <w:rsid w:val="007F5664"/>
    <w:rsid w:val="007F71F9"/>
    <w:rsid w:val="00800575"/>
    <w:rsid w:val="00802907"/>
    <w:rsid w:val="008059E4"/>
    <w:rsid w:val="008142E4"/>
    <w:rsid w:val="00815E32"/>
    <w:rsid w:val="00816AD6"/>
    <w:rsid w:val="00822799"/>
    <w:rsid w:val="00822FDE"/>
    <w:rsid w:val="00825657"/>
    <w:rsid w:val="008261E3"/>
    <w:rsid w:val="0082621E"/>
    <w:rsid w:val="008276FE"/>
    <w:rsid w:val="00827B40"/>
    <w:rsid w:val="0083120F"/>
    <w:rsid w:val="008336DF"/>
    <w:rsid w:val="00852F12"/>
    <w:rsid w:val="008537CB"/>
    <w:rsid w:val="00856EBE"/>
    <w:rsid w:val="008621A3"/>
    <w:rsid w:val="00863C9B"/>
    <w:rsid w:val="00864279"/>
    <w:rsid w:val="0086475C"/>
    <w:rsid w:val="00866990"/>
    <w:rsid w:val="00871A3F"/>
    <w:rsid w:val="008720B3"/>
    <w:rsid w:val="008848AD"/>
    <w:rsid w:val="008856F9"/>
    <w:rsid w:val="00887D74"/>
    <w:rsid w:val="00891EDE"/>
    <w:rsid w:val="00892735"/>
    <w:rsid w:val="00893B1C"/>
    <w:rsid w:val="00894690"/>
    <w:rsid w:val="008A241A"/>
    <w:rsid w:val="008B080B"/>
    <w:rsid w:val="008B21C4"/>
    <w:rsid w:val="008C255E"/>
    <w:rsid w:val="008C4B24"/>
    <w:rsid w:val="008D02F0"/>
    <w:rsid w:val="008D409F"/>
    <w:rsid w:val="008D6C23"/>
    <w:rsid w:val="008E053C"/>
    <w:rsid w:val="008E1AB5"/>
    <w:rsid w:val="008E4691"/>
    <w:rsid w:val="008F245A"/>
    <w:rsid w:val="00906A19"/>
    <w:rsid w:val="00906D50"/>
    <w:rsid w:val="00910FD4"/>
    <w:rsid w:val="009142E5"/>
    <w:rsid w:val="009179FF"/>
    <w:rsid w:val="0092093D"/>
    <w:rsid w:val="00922ABB"/>
    <w:rsid w:val="0093137C"/>
    <w:rsid w:val="0093313C"/>
    <w:rsid w:val="009401EA"/>
    <w:rsid w:val="0094463C"/>
    <w:rsid w:val="00950864"/>
    <w:rsid w:val="00950F40"/>
    <w:rsid w:val="00952102"/>
    <w:rsid w:val="00954182"/>
    <w:rsid w:val="00960A98"/>
    <w:rsid w:val="00961FA8"/>
    <w:rsid w:val="0097077C"/>
    <w:rsid w:val="00970D2F"/>
    <w:rsid w:val="00973FA2"/>
    <w:rsid w:val="009740B4"/>
    <w:rsid w:val="00974CB1"/>
    <w:rsid w:val="00976B85"/>
    <w:rsid w:val="00982775"/>
    <w:rsid w:val="00985303"/>
    <w:rsid w:val="00986537"/>
    <w:rsid w:val="00990AE0"/>
    <w:rsid w:val="0099197F"/>
    <w:rsid w:val="00994824"/>
    <w:rsid w:val="00994A64"/>
    <w:rsid w:val="009A0987"/>
    <w:rsid w:val="009A1A25"/>
    <w:rsid w:val="009A2109"/>
    <w:rsid w:val="009A2709"/>
    <w:rsid w:val="009A3BA0"/>
    <w:rsid w:val="009B11A7"/>
    <w:rsid w:val="009B5FE5"/>
    <w:rsid w:val="009B73C8"/>
    <w:rsid w:val="009B778E"/>
    <w:rsid w:val="009C0DEF"/>
    <w:rsid w:val="009C2F64"/>
    <w:rsid w:val="009D1DF3"/>
    <w:rsid w:val="009E14F9"/>
    <w:rsid w:val="009E3228"/>
    <w:rsid w:val="009E43D5"/>
    <w:rsid w:val="009F27E2"/>
    <w:rsid w:val="009F48D8"/>
    <w:rsid w:val="00A01888"/>
    <w:rsid w:val="00A126D4"/>
    <w:rsid w:val="00A17AA2"/>
    <w:rsid w:val="00A2140B"/>
    <w:rsid w:val="00A21E46"/>
    <w:rsid w:val="00A24863"/>
    <w:rsid w:val="00A251E2"/>
    <w:rsid w:val="00A31033"/>
    <w:rsid w:val="00A31AE6"/>
    <w:rsid w:val="00A40622"/>
    <w:rsid w:val="00A41FD7"/>
    <w:rsid w:val="00A442F1"/>
    <w:rsid w:val="00A44770"/>
    <w:rsid w:val="00A45B8E"/>
    <w:rsid w:val="00A46AF8"/>
    <w:rsid w:val="00A46EA3"/>
    <w:rsid w:val="00A5545D"/>
    <w:rsid w:val="00A565B7"/>
    <w:rsid w:val="00A62A77"/>
    <w:rsid w:val="00A73389"/>
    <w:rsid w:val="00A73AC6"/>
    <w:rsid w:val="00A80857"/>
    <w:rsid w:val="00A87746"/>
    <w:rsid w:val="00A9007E"/>
    <w:rsid w:val="00A93D19"/>
    <w:rsid w:val="00AA06CE"/>
    <w:rsid w:val="00AA198C"/>
    <w:rsid w:val="00AA5DB0"/>
    <w:rsid w:val="00AB1414"/>
    <w:rsid w:val="00AB5E4B"/>
    <w:rsid w:val="00AB7D79"/>
    <w:rsid w:val="00AC42CB"/>
    <w:rsid w:val="00AC52AE"/>
    <w:rsid w:val="00AC57FB"/>
    <w:rsid w:val="00AC6946"/>
    <w:rsid w:val="00AD3266"/>
    <w:rsid w:val="00AD5069"/>
    <w:rsid w:val="00AD5D6D"/>
    <w:rsid w:val="00AD5EDD"/>
    <w:rsid w:val="00AD5EE0"/>
    <w:rsid w:val="00AD6E64"/>
    <w:rsid w:val="00AE3010"/>
    <w:rsid w:val="00AE3F88"/>
    <w:rsid w:val="00AE4FD0"/>
    <w:rsid w:val="00AF07FB"/>
    <w:rsid w:val="00AF2B57"/>
    <w:rsid w:val="00AF4C0B"/>
    <w:rsid w:val="00B123F5"/>
    <w:rsid w:val="00B14FEF"/>
    <w:rsid w:val="00B21CAB"/>
    <w:rsid w:val="00B21E1D"/>
    <w:rsid w:val="00B226E7"/>
    <w:rsid w:val="00B312EF"/>
    <w:rsid w:val="00B31AD4"/>
    <w:rsid w:val="00B332D7"/>
    <w:rsid w:val="00B35597"/>
    <w:rsid w:val="00B447A7"/>
    <w:rsid w:val="00B45D18"/>
    <w:rsid w:val="00B51388"/>
    <w:rsid w:val="00B52542"/>
    <w:rsid w:val="00B54749"/>
    <w:rsid w:val="00B64483"/>
    <w:rsid w:val="00B6565D"/>
    <w:rsid w:val="00B709A4"/>
    <w:rsid w:val="00B74014"/>
    <w:rsid w:val="00B74B8A"/>
    <w:rsid w:val="00B76EC6"/>
    <w:rsid w:val="00B802BB"/>
    <w:rsid w:val="00B82454"/>
    <w:rsid w:val="00B83D50"/>
    <w:rsid w:val="00B95C0A"/>
    <w:rsid w:val="00B9752A"/>
    <w:rsid w:val="00BA1EBE"/>
    <w:rsid w:val="00BA3B8B"/>
    <w:rsid w:val="00BA7440"/>
    <w:rsid w:val="00BA76E3"/>
    <w:rsid w:val="00BB1024"/>
    <w:rsid w:val="00BB15C2"/>
    <w:rsid w:val="00BB66F6"/>
    <w:rsid w:val="00BC1461"/>
    <w:rsid w:val="00BC5AC8"/>
    <w:rsid w:val="00BC620E"/>
    <w:rsid w:val="00BC6E11"/>
    <w:rsid w:val="00BC75D2"/>
    <w:rsid w:val="00BD7B99"/>
    <w:rsid w:val="00BD7FCE"/>
    <w:rsid w:val="00BF02E7"/>
    <w:rsid w:val="00BF6DB2"/>
    <w:rsid w:val="00BF6F91"/>
    <w:rsid w:val="00BF7572"/>
    <w:rsid w:val="00BF7937"/>
    <w:rsid w:val="00C109C3"/>
    <w:rsid w:val="00C10AEC"/>
    <w:rsid w:val="00C15AEE"/>
    <w:rsid w:val="00C16652"/>
    <w:rsid w:val="00C2035B"/>
    <w:rsid w:val="00C23E46"/>
    <w:rsid w:val="00C25610"/>
    <w:rsid w:val="00C34DFF"/>
    <w:rsid w:val="00C354A8"/>
    <w:rsid w:val="00C453A5"/>
    <w:rsid w:val="00C45D17"/>
    <w:rsid w:val="00C4614C"/>
    <w:rsid w:val="00C50704"/>
    <w:rsid w:val="00C575E2"/>
    <w:rsid w:val="00C57F44"/>
    <w:rsid w:val="00C637CF"/>
    <w:rsid w:val="00C83E94"/>
    <w:rsid w:val="00C84CFA"/>
    <w:rsid w:val="00C84EB3"/>
    <w:rsid w:val="00C85666"/>
    <w:rsid w:val="00C85BDA"/>
    <w:rsid w:val="00C86F4D"/>
    <w:rsid w:val="00C9156B"/>
    <w:rsid w:val="00CA0B67"/>
    <w:rsid w:val="00CA20F8"/>
    <w:rsid w:val="00CA5FA6"/>
    <w:rsid w:val="00CB6A2E"/>
    <w:rsid w:val="00CC0122"/>
    <w:rsid w:val="00CC0DAF"/>
    <w:rsid w:val="00CC20A0"/>
    <w:rsid w:val="00CC37AD"/>
    <w:rsid w:val="00CC4DD6"/>
    <w:rsid w:val="00CC4E02"/>
    <w:rsid w:val="00CD2C00"/>
    <w:rsid w:val="00CD41CD"/>
    <w:rsid w:val="00CD5D51"/>
    <w:rsid w:val="00CE1868"/>
    <w:rsid w:val="00CE27DC"/>
    <w:rsid w:val="00CE47CE"/>
    <w:rsid w:val="00CE51BA"/>
    <w:rsid w:val="00CF1B46"/>
    <w:rsid w:val="00CF4D51"/>
    <w:rsid w:val="00CF614D"/>
    <w:rsid w:val="00CF6903"/>
    <w:rsid w:val="00D0020F"/>
    <w:rsid w:val="00D032A7"/>
    <w:rsid w:val="00D04AC3"/>
    <w:rsid w:val="00D07036"/>
    <w:rsid w:val="00D1407C"/>
    <w:rsid w:val="00D14C8E"/>
    <w:rsid w:val="00D245D5"/>
    <w:rsid w:val="00D24AAC"/>
    <w:rsid w:val="00D305DD"/>
    <w:rsid w:val="00D332FD"/>
    <w:rsid w:val="00D4017A"/>
    <w:rsid w:val="00D409EF"/>
    <w:rsid w:val="00D40DA6"/>
    <w:rsid w:val="00D41691"/>
    <w:rsid w:val="00D424C2"/>
    <w:rsid w:val="00D42763"/>
    <w:rsid w:val="00D43377"/>
    <w:rsid w:val="00D4396A"/>
    <w:rsid w:val="00D44320"/>
    <w:rsid w:val="00D52A17"/>
    <w:rsid w:val="00D531A2"/>
    <w:rsid w:val="00D61A9C"/>
    <w:rsid w:val="00D626CC"/>
    <w:rsid w:val="00D7084B"/>
    <w:rsid w:val="00D71284"/>
    <w:rsid w:val="00D7269F"/>
    <w:rsid w:val="00D77283"/>
    <w:rsid w:val="00D7791F"/>
    <w:rsid w:val="00D83D64"/>
    <w:rsid w:val="00DA14AE"/>
    <w:rsid w:val="00DA56BE"/>
    <w:rsid w:val="00DA69B1"/>
    <w:rsid w:val="00DB2820"/>
    <w:rsid w:val="00DB2D68"/>
    <w:rsid w:val="00DB51B3"/>
    <w:rsid w:val="00DB7748"/>
    <w:rsid w:val="00DC0C10"/>
    <w:rsid w:val="00DC4669"/>
    <w:rsid w:val="00DD023E"/>
    <w:rsid w:val="00DD6581"/>
    <w:rsid w:val="00DD7B19"/>
    <w:rsid w:val="00DE148E"/>
    <w:rsid w:val="00DE1B5F"/>
    <w:rsid w:val="00DE4216"/>
    <w:rsid w:val="00DF0E19"/>
    <w:rsid w:val="00DF48D3"/>
    <w:rsid w:val="00DF5503"/>
    <w:rsid w:val="00DF668D"/>
    <w:rsid w:val="00E0064A"/>
    <w:rsid w:val="00E0177C"/>
    <w:rsid w:val="00E021CE"/>
    <w:rsid w:val="00E060F5"/>
    <w:rsid w:val="00E066DB"/>
    <w:rsid w:val="00E069DD"/>
    <w:rsid w:val="00E10795"/>
    <w:rsid w:val="00E145D0"/>
    <w:rsid w:val="00E14BA1"/>
    <w:rsid w:val="00E17500"/>
    <w:rsid w:val="00E26E50"/>
    <w:rsid w:val="00E32361"/>
    <w:rsid w:val="00E32EB0"/>
    <w:rsid w:val="00E36FA7"/>
    <w:rsid w:val="00E43EDF"/>
    <w:rsid w:val="00E508A5"/>
    <w:rsid w:val="00E5142D"/>
    <w:rsid w:val="00E51A41"/>
    <w:rsid w:val="00E55B39"/>
    <w:rsid w:val="00E56A91"/>
    <w:rsid w:val="00E57CF3"/>
    <w:rsid w:val="00E64585"/>
    <w:rsid w:val="00E6755C"/>
    <w:rsid w:val="00E726CC"/>
    <w:rsid w:val="00E72D76"/>
    <w:rsid w:val="00E7394B"/>
    <w:rsid w:val="00E73B1A"/>
    <w:rsid w:val="00E75455"/>
    <w:rsid w:val="00E807A7"/>
    <w:rsid w:val="00E81773"/>
    <w:rsid w:val="00E8405D"/>
    <w:rsid w:val="00E84AD1"/>
    <w:rsid w:val="00E879D4"/>
    <w:rsid w:val="00E91879"/>
    <w:rsid w:val="00EA00C5"/>
    <w:rsid w:val="00EA108B"/>
    <w:rsid w:val="00EA2304"/>
    <w:rsid w:val="00EA5932"/>
    <w:rsid w:val="00EA73B5"/>
    <w:rsid w:val="00EA7C9E"/>
    <w:rsid w:val="00EB0177"/>
    <w:rsid w:val="00EB025D"/>
    <w:rsid w:val="00EB145A"/>
    <w:rsid w:val="00EB73A7"/>
    <w:rsid w:val="00EC0E91"/>
    <w:rsid w:val="00EC1544"/>
    <w:rsid w:val="00EC4488"/>
    <w:rsid w:val="00EC4E4B"/>
    <w:rsid w:val="00EC7D90"/>
    <w:rsid w:val="00ED0838"/>
    <w:rsid w:val="00ED2109"/>
    <w:rsid w:val="00ED5755"/>
    <w:rsid w:val="00ED71EE"/>
    <w:rsid w:val="00EE3200"/>
    <w:rsid w:val="00EF2709"/>
    <w:rsid w:val="00EF2FA8"/>
    <w:rsid w:val="00EF33F2"/>
    <w:rsid w:val="00EF67B9"/>
    <w:rsid w:val="00F00F3E"/>
    <w:rsid w:val="00F01372"/>
    <w:rsid w:val="00F06EBE"/>
    <w:rsid w:val="00F07235"/>
    <w:rsid w:val="00F131FF"/>
    <w:rsid w:val="00F1507F"/>
    <w:rsid w:val="00F16DA5"/>
    <w:rsid w:val="00F17756"/>
    <w:rsid w:val="00F20FFC"/>
    <w:rsid w:val="00F21C84"/>
    <w:rsid w:val="00F246BA"/>
    <w:rsid w:val="00F30D9B"/>
    <w:rsid w:val="00F357DF"/>
    <w:rsid w:val="00F36CE9"/>
    <w:rsid w:val="00F372AE"/>
    <w:rsid w:val="00F375EA"/>
    <w:rsid w:val="00F40C7C"/>
    <w:rsid w:val="00F41ADF"/>
    <w:rsid w:val="00F478A6"/>
    <w:rsid w:val="00F50185"/>
    <w:rsid w:val="00F52E28"/>
    <w:rsid w:val="00F53784"/>
    <w:rsid w:val="00F559BC"/>
    <w:rsid w:val="00F5759B"/>
    <w:rsid w:val="00F6507B"/>
    <w:rsid w:val="00F67571"/>
    <w:rsid w:val="00F72A91"/>
    <w:rsid w:val="00F72D1E"/>
    <w:rsid w:val="00F80684"/>
    <w:rsid w:val="00F868AE"/>
    <w:rsid w:val="00F90E7B"/>
    <w:rsid w:val="00F92D64"/>
    <w:rsid w:val="00F93C10"/>
    <w:rsid w:val="00F94E8B"/>
    <w:rsid w:val="00FA4035"/>
    <w:rsid w:val="00FB12AD"/>
    <w:rsid w:val="00FB6916"/>
    <w:rsid w:val="00FC477B"/>
    <w:rsid w:val="00FD339F"/>
    <w:rsid w:val="00FD34C3"/>
    <w:rsid w:val="00FD726B"/>
    <w:rsid w:val="00FE2E70"/>
    <w:rsid w:val="00FE6788"/>
    <w:rsid w:val="00FF4012"/>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F02F2E-8845-4AAA-96CA-89E7EFA4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DD7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456F05"/>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Titre3"/>
    <w:next w:val="-LettreTexteGEDA"/>
    <w:link w:val="Titre4Car"/>
    <w:qFormat/>
    <w:rsid w:val="00456F05"/>
    <w:pPr>
      <w:keepLines w:val="0"/>
      <w:numPr>
        <w:numId w:val="6"/>
      </w:numPr>
      <w:spacing w:before="180"/>
      <w:ind w:left="283" w:hanging="283"/>
      <w:outlineLvl w:val="3"/>
    </w:pPr>
    <w:rPr>
      <w:rFonts w:ascii="Times New Roman" w:eastAsia="Times New Roman" w:hAnsi="Times New Roman" w:cs="Arial"/>
      <w:bCs w:val="0"/>
      <w:iCs/>
      <w:caps/>
      <w:color w:val="auto"/>
      <w:szCs w:val="20"/>
      <w:lang w:eastAsia="en-U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10"/>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aliases w:val="Paragraphe de liste num,Paragraphe de liste 1,Listes"/>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aliases w:val="Paragraphe de liste num Car,Paragraphe de liste 1 Car,Listes Car"/>
    <w:basedOn w:val="Policepardfaut"/>
    <w:link w:val="Paragraphedeliste"/>
    <w:uiPriority w:val="34"/>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rsid w:val="00825657"/>
    <w:rPr>
      <w:rFonts w:ascii="Times New Roman" w:hAnsi="Times New Roman" w:cs="Times New Roman"/>
      <w:sz w:val="20"/>
      <w:szCs w:val="20"/>
    </w:rPr>
  </w:style>
  <w:style w:type="character" w:styleId="Appelnotedebasdep">
    <w:name w:val="footnote reference"/>
    <w:basedOn w:val="Policepardfaut"/>
    <w:uiPriority w:val="99"/>
    <w:unhideWhenUsed/>
    <w:rsid w:val="00825657"/>
    <w:rPr>
      <w:vertAlign w:val="superscript"/>
    </w:rPr>
  </w:style>
  <w:style w:type="paragraph" w:customStyle="1" w:styleId="-ActeArticlecontenuGEDA">
    <w:name w:val="- Acte:Article (contenu)           GEDA"/>
    <w:rsid w:val="00EB145A"/>
    <w:pPr>
      <w:numPr>
        <w:numId w:val="4"/>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 w:type="character" w:customStyle="1" w:styleId="Titre1Car">
    <w:name w:val="Titre 1 Car"/>
    <w:basedOn w:val="Policepardfaut"/>
    <w:link w:val="Titre1"/>
    <w:uiPriority w:val="9"/>
    <w:rsid w:val="00DD7B19"/>
    <w:rPr>
      <w:rFonts w:asciiTheme="majorHAnsi" w:eastAsiaTheme="majorEastAsia" w:hAnsiTheme="majorHAnsi" w:cstheme="majorBidi"/>
      <w:b/>
      <w:bCs/>
      <w:color w:val="365F91" w:themeColor="accent1" w:themeShade="BF"/>
      <w:sz w:val="28"/>
      <w:szCs w:val="28"/>
      <w:lang w:eastAsia="es-ES"/>
    </w:rPr>
  </w:style>
  <w:style w:type="paragraph" w:customStyle="1" w:styleId="paragraph">
    <w:name w:val="paragraph"/>
    <w:basedOn w:val="Normal"/>
    <w:rsid w:val="0077577E"/>
    <w:pPr>
      <w:spacing w:before="100" w:beforeAutospacing="1" w:after="100" w:afterAutospacing="1"/>
    </w:pPr>
    <w:rPr>
      <w:rFonts w:eastAsiaTheme="minorHAnsi"/>
      <w:lang w:eastAsia="fr-FR"/>
    </w:rPr>
  </w:style>
  <w:style w:type="character" w:customStyle="1" w:styleId="normaltextrun">
    <w:name w:val="normaltextrun"/>
    <w:basedOn w:val="Policepardfaut"/>
    <w:rsid w:val="0077577E"/>
  </w:style>
  <w:style w:type="character" w:customStyle="1" w:styleId="eop">
    <w:name w:val="eop"/>
    <w:basedOn w:val="Policepardfaut"/>
    <w:rsid w:val="0077577E"/>
  </w:style>
  <w:style w:type="character" w:customStyle="1" w:styleId="contextualspellingandgrammarerror">
    <w:name w:val="contextualspellingandgrammarerror"/>
    <w:basedOn w:val="Policepardfaut"/>
    <w:rsid w:val="0077577E"/>
  </w:style>
  <w:style w:type="paragraph" w:styleId="Sous-titre">
    <w:name w:val="Subtitle"/>
    <w:basedOn w:val="Normal"/>
    <w:next w:val="Normal"/>
    <w:link w:val="Sous-titreCar"/>
    <w:uiPriority w:val="11"/>
    <w:qFormat/>
    <w:rsid w:val="00B76EC6"/>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B76EC6"/>
    <w:rPr>
      <w:rFonts w:ascii="Cambria" w:eastAsia="Times New Roman" w:hAnsi="Cambria" w:cs="Times New Roman"/>
      <w:b/>
      <w:sz w:val="24"/>
      <w:szCs w:val="24"/>
      <w:u w:val="single"/>
      <w:lang w:eastAsia="fr-FR"/>
    </w:rPr>
  </w:style>
  <w:style w:type="paragraph" w:customStyle="1" w:styleId="-SignataireNomGEDA">
    <w:name w:val="- Signataire:Nom            GEDA"/>
    <w:rsid w:val="00DC0C10"/>
    <w:pPr>
      <w:keepNext/>
      <w:overflowPunct w:val="0"/>
      <w:autoSpaceDE w:val="0"/>
      <w:autoSpaceDN w:val="0"/>
      <w:adjustRightInd w:val="0"/>
      <w:spacing w:before="1080" w:after="0" w:line="240" w:lineRule="auto"/>
      <w:jc w:val="center"/>
    </w:pPr>
    <w:rPr>
      <w:rFonts w:ascii="Times New Roman" w:eastAsia="Times New Roman" w:hAnsi="Times New Roman" w:cs="Times New Roman"/>
      <w:sz w:val="24"/>
      <w:szCs w:val="20"/>
      <w:lang w:eastAsia="fr-FR"/>
    </w:rPr>
  </w:style>
  <w:style w:type="paragraph" w:customStyle="1" w:styleId="-ActeAttenduConsidrantGEDA">
    <w:name w:val="- Acte:Attendu (Considérant)  GEDA"/>
    <w:basedOn w:val="-ActeAttenduVuGEDA"/>
    <w:rsid w:val="00F16DA5"/>
    <w:pPr>
      <w:numPr>
        <w:numId w:val="5"/>
      </w:numPr>
    </w:pPr>
  </w:style>
  <w:style w:type="paragraph" w:customStyle="1" w:styleId="-LettreRefGEDA">
    <w:name w:val="- Lettre:Ref                  GEDA"/>
    <w:basedOn w:val="-LettreObjetGEDA"/>
    <w:next w:val="-LettreSuiteORefPJGEDA"/>
    <w:rsid w:val="00990AE0"/>
    <w:pPr>
      <w:spacing w:before="80"/>
    </w:pPr>
  </w:style>
  <w:style w:type="character" w:customStyle="1" w:styleId="Titre4Car">
    <w:name w:val="Titre 4 Car"/>
    <w:basedOn w:val="Policepardfaut"/>
    <w:link w:val="Titre4"/>
    <w:rsid w:val="00456F05"/>
    <w:rPr>
      <w:rFonts w:ascii="Times New Roman" w:eastAsia="Times New Roman" w:hAnsi="Times New Roman" w:cs="Arial"/>
      <w:b/>
      <w:iCs/>
      <w:caps/>
      <w:sz w:val="24"/>
      <w:szCs w:val="20"/>
    </w:rPr>
  </w:style>
  <w:style w:type="character" w:customStyle="1" w:styleId="Titre3Car">
    <w:name w:val="Titre 3 Car"/>
    <w:basedOn w:val="Policepardfaut"/>
    <w:link w:val="Titre3"/>
    <w:uiPriority w:val="9"/>
    <w:semiHidden/>
    <w:rsid w:val="00456F05"/>
    <w:rPr>
      <w:rFonts w:asciiTheme="majorHAnsi" w:eastAsiaTheme="majorEastAsia" w:hAnsiTheme="majorHAnsi" w:cstheme="majorBidi"/>
      <w:b/>
      <w:bCs/>
      <w:color w:val="4F81BD" w:themeColor="accent1"/>
      <w:sz w:val="24"/>
      <w:szCs w:val="24"/>
      <w:lang w:eastAsia="es-ES"/>
    </w:rPr>
  </w:style>
  <w:style w:type="table" w:customStyle="1" w:styleId="TableauGrille4-Accentuation41">
    <w:name w:val="Tableau Grille 4 - Accentuation 41"/>
    <w:basedOn w:val="TableauNormal"/>
    <w:uiPriority w:val="49"/>
    <w:rsid w:val="00164559"/>
    <w:pPr>
      <w:spacing w:after="0" w:line="240" w:lineRule="auto"/>
    </w:pPr>
    <w:rPr>
      <w:rFonts w:eastAsia="Times New Roman"/>
      <w:sz w:val="24"/>
      <w:szCs w:val="24"/>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EnteteLieuetdateGEDA">
    <w:name w:val="- Entete:Lieu et date      GEDA"/>
    <w:rsid w:val="00AA06CE"/>
    <w:pPr>
      <w:overflowPunct w:val="0"/>
      <w:autoSpaceDE w:val="0"/>
      <w:autoSpaceDN w:val="0"/>
      <w:adjustRightInd w:val="0"/>
      <w:spacing w:after="240" w:line="240" w:lineRule="auto"/>
      <w:ind w:left="851"/>
      <w:textAlignment w:val="baseline"/>
    </w:pPr>
    <w:rPr>
      <w:rFonts w:ascii="Times New Roman" w:eastAsia="Times New Roman" w:hAnsi="Times New Roman" w:cs="Times New Roman"/>
      <w:noProof/>
      <w:sz w:val="24"/>
      <w:szCs w:val="20"/>
      <w:lang w:eastAsia="fr-FR"/>
    </w:rPr>
  </w:style>
  <w:style w:type="character" w:customStyle="1" w:styleId="Aucun">
    <w:name w:val="Aucun"/>
    <w:rsid w:val="00C84EB3"/>
  </w:style>
  <w:style w:type="numbering" w:customStyle="1" w:styleId="Style9import">
    <w:name w:val="Style 9 importé"/>
    <w:rsid w:val="00C84EB3"/>
    <w:pPr>
      <w:numPr>
        <w:numId w:val="7"/>
      </w:numPr>
    </w:pPr>
  </w:style>
  <w:style w:type="character" w:customStyle="1" w:styleId="textexposedshow">
    <w:name w:val="text_exposed_show"/>
    <w:basedOn w:val="Policepardfaut"/>
    <w:rsid w:val="001E128A"/>
  </w:style>
  <w:style w:type="paragraph" w:customStyle="1" w:styleId="-LettreDestinataireGEDA">
    <w:name w:val="- Lettre:Destinataire    GEDA"/>
    <w:basedOn w:val="Normal"/>
    <w:next w:val="Normal"/>
    <w:rsid w:val="00C15AEE"/>
    <w:pPr>
      <w:overflowPunct w:val="0"/>
      <w:autoSpaceDE w:val="0"/>
      <w:autoSpaceDN w:val="0"/>
      <w:adjustRightInd w:val="0"/>
      <w:spacing w:before="360"/>
      <w:jc w:val="center"/>
    </w:pPr>
    <w:rPr>
      <w:b/>
      <w:noProof/>
      <w:szCs w:val="20"/>
      <w:lang w:eastAsia="fr-FR"/>
    </w:rPr>
  </w:style>
  <w:style w:type="paragraph" w:customStyle="1" w:styleId="-LettreAffairesuivieGEDA">
    <w:name w:val="- Lettre:Affaire suivie                GEDA"/>
    <w:rsid w:val="001E547E"/>
    <w:pPr>
      <w:numPr>
        <w:numId w:val="14"/>
      </w:numPr>
      <w:tabs>
        <w:tab w:val="clear" w:pos="2880"/>
        <w:tab w:val="num" w:pos="2160"/>
      </w:tabs>
      <w:spacing w:before="240" w:after="0" w:line="240" w:lineRule="auto"/>
      <w:ind w:left="180" w:right="5652" w:firstLine="180"/>
      <w:jc w:val="center"/>
    </w:pPr>
    <w:rPr>
      <w:rFonts w:ascii="Times New Roman" w:eastAsia="Times New Roman" w:hAnsi="Times New Roman" w:cs="Times New Roman"/>
      <w:i/>
      <w:iCs/>
      <w:noProof/>
      <w:sz w:val="1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240">
      <w:bodyDiv w:val="1"/>
      <w:marLeft w:val="0"/>
      <w:marRight w:val="0"/>
      <w:marTop w:val="0"/>
      <w:marBottom w:val="0"/>
      <w:divBdr>
        <w:top w:val="none" w:sz="0" w:space="0" w:color="auto"/>
        <w:left w:val="none" w:sz="0" w:space="0" w:color="auto"/>
        <w:bottom w:val="none" w:sz="0" w:space="0" w:color="auto"/>
        <w:right w:val="none" w:sz="0" w:space="0" w:color="auto"/>
      </w:divBdr>
    </w:div>
    <w:div w:id="27146237">
      <w:bodyDiv w:val="1"/>
      <w:marLeft w:val="0"/>
      <w:marRight w:val="0"/>
      <w:marTop w:val="0"/>
      <w:marBottom w:val="0"/>
      <w:divBdr>
        <w:top w:val="none" w:sz="0" w:space="0" w:color="auto"/>
        <w:left w:val="none" w:sz="0" w:space="0" w:color="auto"/>
        <w:bottom w:val="none" w:sz="0" w:space="0" w:color="auto"/>
        <w:right w:val="none" w:sz="0" w:space="0" w:color="auto"/>
      </w:divBdr>
    </w:div>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36249696">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76099281">
      <w:bodyDiv w:val="1"/>
      <w:marLeft w:val="0"/>
      <w:marRight w:val="0"/>
      <w:marTop w:val="0"/>
      <w:marBottom w:val="0"/>
      <w:divBdr>
        <w:top w:val="none" w:sz="0" w:space="0" w:color="auto"/>
        <w:left w:val="none" w:sz="0" w:space="0" w:color="auto"/>
        <w:bottom w:val="none" w:sz="0" w:space="0" w:color="auto"/>
        <w:right w:val="none" w:sz="0" w:space="0" w:color="auto"/>
      </w:divBdr>
    </w:div>
    <w:div w:id="122356157">
      <w:bodyDiv w:val="1"/>
      <w:marLeft w:val="0"/>
      <w:marRight w:val="0"/>
      <w:marTop w:val="0"/>
      <w:marBottom w:val="0"/>
      <w:divBdr>
        <w:top w:val="none" w:sz="0" w:space="0" w:color="auto"/>
        <w:left w:val="none" w:sz="0" w:space="0" w:color="auto"/>
        <w:bottom w:val="none" w:sz="0" w:space="0" w:color="auto"/>
        <w:right w:val="none" w:sz="0" w:space="0" w:color="auto"/>
      </w:divBdr>
    </w:div>
    <w:div w:id="123741808">
      <w:bodyDiv w:val="1"/>
      <w:marLeft w:val="0"/>
      <w:marRight w:val="0"/>
      <w:marTop w:val="0"/>
      <w:marBottom w:val="0"/>
      <w:divBdr>
        <w:top w:val="none" w:sz="0" w:space="0" w:color="auto"/>
        <w:left w:val="none" w:sz="0" w:space="0" w:color="auto"/>
        <w:bottom w:val="none" w:sz="0" w:space="0" w:color="auto"/>
        <w:right w:val="none" w:sz="0" w:space="0" w:color="auto"/>
      </w:divBdr>
    </w:div>
    <w:div w:id="138622221">
      <w:bodyDiv w:val="1"/>
      <w:marLeft w:val="0"/>
      <w:marRight w:val="0"/>
      <w:marTop w:val="0"/>
      <w:marBottom w:val="0"/>
      <w:divBdr>
        <w:top w:val="none" w:sz="0" w:space="0" w:color="auto"/>
        <w:left w:val="none" w:sz="0" w:space="0" w:color="auto"/>
        <w:bottom w:val="none" w:sz="0" w:space="0" w:color="auto"/>
        <w:right w:val="none" w:sz="0" w:space="0" w:color="auto"/>
      </w:divBdr>
    </w:div>
    <w:div w:id="153298529">
      <w:bodyDiv w:val="1"/>
      <w:marLeft w:val="0"/>
      <w:marRight w:val="0"/>
      <w:marTop w:val="0"/>
      <w:marBottom w:val="0"/>
      <w:divBdr>
        <w:top w:val="none" w:sz="0" w:space="0" w:color="auto"/>
        <w:left w:val="none" w:sz="0" w:space="0" w:color="auto"/>
        <w:bottom w:val="none" w:sz="0" w:space="0" w:color="auto"/>
        <w:right w:val="none" w:sz="0" w:space="0" w:color="auto"/>
      </w:divBdr>
    </w:div>
    <w:div w:id="156699497">
      <w:bodyDiv w:val="1"/>
      <w:marLeft w:val="0"/>
      <w:marRight w:val="0"/>
      <w:marTop w:val="0"/>
      <w:marBottom w:val="0"/>
      <w:divBdr>
        <w:top w:val="none" w:sz="0" w:space="0" w:color="auto"/>
        <w:left w:val="none" w:sz="0" w:space="0" w:color="auto"/>
        <w:bottom w:val="none" w:sz="0" w:space="0" w:color="auto"/>
        <w:right w:val="none" w:sz="0" w:space="0" w:color="auto"/>
      </w:divBdr>
    </w:div>
    <w:div w:id="158274397">
      <w:bodyDiv w:val="1"/>
      <w:marLeft w:val="0"/>
      <w:marRight w:val="0"/>
      <w:marTop w:val="0"/>
      <w:marBottom w:val="0"/>
      <w:divBdr>
        <w:top w:val="none" w:sz="0" w:space="0" w:color="auto"/>
        <w:left w:val="none" w:sz="0" w:space="0" w:color="auto"/>
        <w:bottom w:val="none" w:sz="0" w:space="0" w:color="auto"/>
        <w:right w:val="none" w:sz="0" w:space="0" w:color="auto"/>
      </w:divBdr>
    </w:div>
    <w:div w:id="178011378">
      <w:bodyDiv w:val="1"/>
      <w:marLeft w:val="0"/>
      <w:marRight w:val="0"/>
      <w:marTop w:val="0"/>
      <w:marBottom w:val="0"/>
      <w:divBdr>
        <w:top w:val="none" w:sz="0" w:space="0" w:color="auto"/>
        <w:left w:val="none" w:sz="0" w:space="0" w:color="auto"/>
        <w:bottom w:val="none" w:sz="0" w:space="0" w:color="auto"/>
        <w:right w:val="none" w:sz="0" w:space="0" w:color="auto"/>
      </w:divBdr>
    </w:div>
    <w:div w:id="198006304">
      <w:bodyDiv w:val="1"/>
      <w:marLeft w:val="0"/>
      <w:marRight w:val="0"/>
      <w:marTop w:val="0"/>
      <w:marBottom w:val="0"/>
      <w:divBdr>
        <w:top w:val="none" w:sz="0" w:space="0" w:color="auto"/>
        <w:left w:val="none" w:sz="0" w:space="0" w:color="auto"/>
        <w:bottom w:val="none" w:sz="0" w:space="0" w:color="auto"/>
        <w:right w:val="none" w:sz="0" w:space="0" w:color="auto"/>
      </w:divBdr>
    </w:div>
    <w:div w:id="214003931">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55872037">
      <w:bodyDiv w:val="1"/>
      <w:marLeft w:val="0"/>
      <w:marRight w:val="0"/>
      <w:marTop w:val="0"/>
      <w:marBottom w:val="0"/>
      <w:divBdr>
        <w:top w:val="none" w:sz="0" w:space="0" w:color="auto"/>
        <w:left w:val="none" w:sz="0" w:space="0" w:color="auto"/>
        <w:bottom w:val="none" w:sz="0" w:space="0" w:color="auto"/>
        <w:right w:val="none" w:sz="0" w:space="0" w:color="auto"/>
      </w:divBdr>
    </w:div>
    <w:div w:id="257493491">
      <w:bodyDiv w:val="1"/>
      <w:marLeft w:val="0"/>
      <w:marRight w:val="0"/>
      <w:marTop w:val="0"/>
      <w:marBottom w:val="0"/>
      <w:divBdr>
        <w:top w:val="none" w:sz="0" w:space="0" w:color="auto"/>
        <w:left w:val="none" w:sz="0" w:space="0" w:color="auto"/>
        <w:bottom w:val="none" w:sz="0" w:space="0" w:color="auto"/>
        <w:right w:val="none" w:sz="0" w:space="0" w:color="auto"/>
      </w:divBdr>
    </w:div>
    <w:div w:id="268662804">
      <w:bodyDiv w:val="1"/>
      <w:marLeft w:val="0"/>
      <w:marRight w:val="0"/>
      <w:marTop w:val="0"/>
      <w:marBottom w:val="0"/>
      <w:divBdr>
        <w:top w:val="none" w:sz="0" w:space="0" w:color="auto"/>
        <w:left w:val="none" w:sz="0" w:space="0" w:color="auto"/>
        <w:bottom w:val="none" w:sz="0" w:space="0" w:color="auto"/>
        <w:right w:val="none" w:sz="0" w:space="0" w:color="auto"/>
      </w:divBdr>
    </w:div>
    <w:div w:id="281035735">
      <w:bodyDiv w:val="1"/>
      <w:marLeft w:val="0"/>
      <w:marRight w:val="0"/>
      <w:marTop w:val="0"/>
      <w:marBottom w:val="0"/>
      <w:divBdr>
        <w:top w:val="none" w:sz="0" w:space="0" w:color="auto"/>
        <w:left w:val="none" w:sz="0" w:space="0" w:color="auto"/>
        <w:bottom w:val="none" w:sz="0" w:space="0" w:color="auto"/>
        <w:right w:val="none" w:sz="0" w:space="0" w:color="auto"/>
      </w:divBdr>
    </w:div>
    <w:div w:id="282543905">
      <w:bodyDiv w:val="1"/>
      <w:marLeft w:val="0"/>
      <w:marRight w:val="0"/>
      <w:marTop w:val="0"/>
      <w:marBottom w:val="0"/>
      <w:divBdr>
        <w:top w:val="none" w:sz="0" w:space="0" w:color="auto"/>
        <w:left w:val="none" w:sz="0" w:space="0" w:color="auto"/>
        <w:bottom w:val="none" w:sz="0" w:space="0" w:color="auto"/>
        <w:right w:val="none" w:sz="0" w:space="0" w:color="auto"/>
      </w:divBdr>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319699831">
      <w:bodyDiv w:val="1"/>
      <w:marLeft w:val="0"/>
      <w:marRight w:val="0"/>
      <w:marTop w:val="0"/>
      <w:marBottom w:val="0"/>
      <w:divBdr>
        <w:top w:val="none" w:sz="0" w:space="0" w:color="auto"/>
        <w:left w:val="none" w:sz="0" w:space="0" w:color="auto"/>
        <w:bottom w:val="none" w:sz="0" w:space="0" w:color="auto"/>
        <w:right w:val="none" w:sz="0" w:space="0" w:color="auto"/>
      </w:divBdr>
    </w:div>
    <w:div w:id="321468983">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44796363">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25854381">
      <w:bodyDiv w:val="1"/>
      <w:marLeft w:val="0"/>
      <w:marRight w:val="0"/>
      <w:marTop w:val="0"/>
      <w:marBottom w:val="0"/>
      <w:divBdr>
        <w:top w:val="none" w:sz="0" w:space="0" w:color="auto"/>
        <w:left w:val="none" w:sz="0" w:space="0" w:color="auto"/>
        <w:bottom w:val="none" w:sz="0" w:space="0" w:color="auto"/>
        <w:right w:val="none" w:sz="0" w:space="0" w:color="auto"/>
      </w:divBdr>
    </w:div>
    <w:div w:id="432362796">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34440916">
      <w:bodyDiv w:val="1"/>
      <w:marLeft w:val="0"/>
      <w:marRight w:val="0"/>
      <w:marTop w:val="0"/>
      <w:marBottom w:val="0"/>
      <w:divBdr>
        <w:top w:val="none" w:sz="0" w:space="0" w:color="auto"/>
        <w:left w:val="none" w:sz="0" w:space="0" w:color="auto"/>
        <w:bottom w:val="none" w:sz="0" w:space="0" w:color="auto"/>
        <w:right w:val="none" w:sz="0" w:space="0" w:color="auto"/>
      </w:divBdr>
    </w:div>
    <w:div w:id="447167098">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68085270">
      <w:bodyDiv w:val="1"/>
      <w:marLeft w:val="0"/>
      <w:marRight w:val="0"/>
      <w:marTop w:val="0"/>
      <w:marBottom w:val="0"/>
      <w:divBdr>
        <w:top w:val="none" w:sz="0" w:space="0" w:color="auto"/>
        <w:left w:val="none" w:sz="0" w:space="0" w:color="auto"/>
        <w:bottom w:val="none" w:sz="0" w:space="0" w:color="auto"/>
        <w:right w:val="none" w:sz="0" w:space="0" w:color="auto"/>
      </w:divBdr>
    </w:div>
    <w:div w:id="478690919">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495145490">
      <w:bodyDiv w:val="1"/>
      <w:marLeft w:val="0"/>
      <w:marRight w:val="0"/>
      <w:marTop w:val="0"/>
      <w:marBottom w:val="0"/>
      <w:divBdr>
        <w:top w:val="none" w:sz="0" w:space="0" w:color="auto"/>
        <w:left w:val="none" w:sz="0" w:space="0" w:color="auto"/>
        <w:bottom w:val="none" w:sz="0" w:space="0" w:color="auto"/>
        <w:right w:val="none" w:sz="0" w:space="0" w:color="auto"/>
      </w:divBdr>
    </w:div>
    <w:div w:id="536087316">
      <w:bodyDiv w:val="1"/>
      <w:marLeft w:val="0"/>
      <w:marRight w:val="0"/>
      <w:marTop w:val="0"/>
      <w:marBottom w:val="0"/>
      <w:divBdr>
        <w:top w:val="none" w:sz="0" w:space="0" w:color="auto"/>
        <w:left w:val="none" w:sz="0" w:space="0" w:color="auto"/>
        <w:bottom w:val="none" w:sz="0" w:space="0" w:color="auto"/>
        <w:right w:val="none" w:sz="0" w:space="0" w:color="auto"/>
      </w:divBdr>
    </w:div>
    <w:div w:id="538737681">
      <w:bodyDiv w:val="1"/>
      <w:marLeft w:val="0"/>
      <w:marRight w:val="0"/>
      <w:marTop w:val="0"/>
      <w:marBottom w:val="0"/>
      <w:divBdr>
        <w:top w:val="none" w:sz="0" w:space="0" w:color="auto"/>
        <w:left w:val="none" w:sz="0" w:space="0" w:color="auto"/>
        <w:bottom w:val="none" w:sz="0" w:space="0" w:color="auto"/>
        <w:right w:val="none" w:sz="0" w:space="0" w:color="auto"/>
      </w:divBdr>
    </w:div>
    <w:div w:id="541556659">
      <w:bodyDiv w:val="1"/>
      <w:marLeft w:val="0"/>
      <w:marRight w:val="0"/>
      <w:marTop w:val="0"/>
      <w:marBottom w:val="0"/>
      <w:divBdr>
        <w:top w:val="none" w:sz="0" w:space="0" w:color="auto"/>
        <w:left w:val="none" w:sz="0" w:space="0" w:color="auto"/>
        <w:bottom w:val="none" w:sz="0" w:space="0" w:color="auto"/>
        <w:right w:val="none" w:sz="0" w:space="0" w:color="auto"/>
      </w:divBdr>
    </w:div>
    <w:div w:id="549418902">
      <w:bodyDiv w:val="1"/>
      <w:marLeft w:val="0"/>
      <w:marRight w:val="0"/>
      <w:marTop w:val="0"/>
      <w:marBottom w:val="0"/>
      <w:divBdr>
        <w:top w:val="none" w:sz="0" w:space="0" w:color="auto"/>
        <w:left w:val="none" w:sz="0" w:space="0" w:color="auto"/>
        <w:bottom w:val="none" w:sz="0" w:space="0" w:color="auto"/>
        <w:right w:val="none" w:sz="0" w:space="0" w:color="auto"/>
      </w:divBdr>
    </w:div>
    <w:div w:id="563568067">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15255438">
      <w:bodyDiv w:val="1"/>
      <w:marLeft w:val="0"/>
      <w:marRight w:val="0"/>
      <w:marTop w:val="0"/>
      <w:marBottom w:val="0"/>
      <w:divBdr>
        <w:top w:val="none" w:sz="0" w:space="0" w:color="auto"/>
        <w:left w:val="none" w:sz="0" w:space="0" w:color="auto"/>
        <w:bottom w:val="none" w:sz="0" w:space="0" w:color="auto"/>
        <w:right w:val="none" w:sz="0" w:space="0" w:color="auto"/>
      </w:divBdr>
    </w:div>
    <w:div w:id="647394167">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86100649">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741412818">
      <w:bodyDiv w:val="1"/>
      <w:marLeft w:val="0"/>
      <w:marRight w:val="0"/>
      <w:marTop w:val="0"/>
      <w:marBottom w:val="0"/>
      <w:divBdr>
        <w:top w:val="none" w:sz="0" w:space="0" w:color="auto"/>
        <w:left w:val="none" w:sz="0" w:space="0" w:color="auto"/>
        <w:bottom w:val="none" w:sz="0" w:space="0" w:color="auto"/>
        <w:right w:val="none" w:sz="0" w:space="0" w:color="auto"/>
      </w:divBdr>
    </w:div>
    <w:div w:id="754861377">
      <w:bodyDiv w:val="1"/>
      <w:marLeft w:val="0"/>
      <w:marRight w:val="0"/>
      <w:marTop w:val="0"/>
      <w:marBottom w:val="0"/>
      <w:divBdr>
        <w:top w:val="none" w:sz="0" w:space="0" w:color="auto"/>
        <w:left w:val="none" w:sz="0" w:space="0" w:color="auto"/>
        <w:bottom w:val="none" w:sz="0" w:space="0" w:color="auto"/>
        <w:right w:val="none" w:sz="0" w:space="0" w:color="auto"/>
      </w:divBdr>
    </w:div>
    <w:div w:id="765417112">
      <w:bodyDiv w:val="1"/>
      <w:marLeft w:val="0"/>
      <w:marRight w:val="0"/>
      <w:marTop w:val="0"/>
      <w:marBottom w:val="0"/>
      <w:divBdr>
        <w:top w:val="none" w:sz="0" w:space="0" w:color="auto"/>
        <w:left w:val="none" w:sz="0" w:space="0" w:color="auto"/>
        <w:bottom w:val="none" w:sz="0" w:space="0" w:color="auto"/>
        <w:right w:val="none" w:sz="0" w:space="0" w:color="auto"/>
      </w:divBdr>
    </w:div>
    <w:div w:id="767652123">
      <w:bodyDiv w:val="1"/>
      <w:marLeft w:val="0"/>
      <w:marRight w:val="0"/>
      <w:marTop w:val="0"/>
      <w:marBottom w:val="0"/>
      <w:divBdr>
        <w:top w:val="none" w:sz="0" w:space="0" w:color="auto"/>
        <w:left w:val="none" w:sz="0" w:space="0" w:color="auto"/>
        <w:bottom w:val="none" w:sz="0" w:space="0" w:color="auto"/>
        <w:right w:val="none" w:sz="0" w:space="0" w:color="auto"/>
      </w:divBdr>
    </w:div>
    <w:div w:id="793329890">
      <w:bodyDiv w:val="1"/>
      <w:marLeft w:val="0"/>
      <w:marRight w:val="0"/>
      <w:marTop w:val="0"/>
      <w:marBottom w:val="0"/>
      <w:divBdr>
        <w:top w:val="none" w:sz="0" w:space="0" w:color="auto"/>
        <w:left w:val="none" w:sz="0" w:space="0" w:color="auto"/>
        <w:bottom w:val="none" w:sz="0" w:space="0" w:color="auto"/>
        <w:right w:val="none" w:sz="0" w:space="0" w:color="auto"/>
      </w:divBdr>
    </w:div>
    <w:div w:id="844170095">
      <w:bodyDiv w:val="1"/>
      <w:marLeft w:val="0"/>
      <w:marRight w:val="0"/>
      <w:marTop w:val="0"/>
      <w:marBottom w:val="0"/>
      <w:divBdr>
        <w:top w:val="none" w:sz="0" w:space="0" w:color="auto"/>
        <w:left w:val="none" w:sz="0" w:space="0" w:color="auto"/>
        <w:bottom w:val="none" w:sz="0" w:space="0" w:color="auto"/>
        <w:right w:val="none" w:sz="0" w:space="0" w:color="auto"/>
      </w:divBdr>
    </w:div>
    <w:div w:id="865944739">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886641880">
      <w:bodyDiv w:val="1"/>
      <w:marLeft w:val="0"/>
      <w:marRight w:val="0"/>
      <w:marTop w:val="0"/>
      <w:marBottom w:val="0"/>
      <w:divBdr>
        <w:top w:val="none" w:sz="0" w:space="0" w:color="auto"/>
        <w:left w:val="none" w:sz="0" w:space="0" w:color="auto"/>
        <w:bottom w:val="none" w:sz="0" w:space="0" w:color="auto"/>
        <w:right w:val="none" w:sz="0" w:space="0" w:color="auto"/>
      </w:divBdr>
    </w:div>
    <w:div w:id="903610673">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53823607">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995113163">
      <w:bodyDiv w:val="1"/>
      <w:marLeft w:val="0"/>
      <w:marRight w:val="0"/>
      <w:marTop w:val="0"/>
      <w:marBottom w:val="0"/>
      <w:divBdr>
        <w:top w:val="none" w:sz="0" w:space="0" w:color="auto"/>
        <w:left w:val="none" w:sz="0" w:space="0" w:color="auto"/>
        <w:bottom w:val="none" w:sz="0" w:space="0" w:color="auto"/>
        <w:right w:val="none" w:sz="0" w:space="0" w:color="auto"/>
      </w:divBdr>
    </w:div>
    <w:div w:id="1041856012">
      <w:bodyDiv w:val="1"/>
      <w:marLeft w:val="0"/>
      <w:marRight w:val="0"/>
      <w:marTop w:val="0"/>
      <w:marBottom w:val="0"/>
      <w:divBdr>
        <w:top w:val="none" w:sz="0" w:space="0" w:color="auto"/>
        <w:left w:val="none" w:sz="0" w:space="0" w:color="auto"/>
        <w:bottom w:val="none" w:sz="0" w:space="0" w:color="auto"/>
        <w:right w:val="none" w:sz="0" w:space="0" w:color="auto"/>
      </w:divBdr>
    </w:div>
    <w:div w:id="1080101988">
      <w:bodyDiv w:val="1"/>
      <w:marLeft w:val="0"/>
      <w:marRight w:val="0"/>
      <w:marTop w:val="0"/>
      <w:marBottom w:val="0"/>
      <w:divBdr>
        <w:top w:val="none" w:sz="0" w:space="0" w:color="auto"/>
        <w:left w:val="none" w:sz="0" w:space="0" w:color="auto"/>
        <w:bottom w:val="none" w:sz="0" w:space="0" w:color="auto"/>
        <w:right w:val="none" w:sz="0" w:space="0" w:color="auto"/>
      </w:divBdr>
    </w:div>
    <w:div w:id="1084106740">
      <w:bodyDiv w:val="1"/>
      <w:marLeft w:val="0"/>
      <w:marRight w:val="0"/>
      <w:marTop w:val="0"/>
      <w:marBottom w:val="0"/>
      <w:divBdr>
        <w:top w:val="none" w:sz="0" w:space="0" w:color="auto"/>
        <w:left w:val="none" w:sz="0" w:space="0" w:color="auto"/>
        <w:bottom w:val="none" w:sz="0" w:space="0" w:color="auto"/>
        <w:right w:val="none" w:sz="0" w:space="0" w:color="auto"/>
      </w:divBdr>
    </w:div>
    <w:div w:id="1146317688">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180393474">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42250885">
      <w:bodyDiv w:val="1"/>
      <w:marLeft w:val="0"/>
      <w:marRight w:val="0"/>
      <w:marTop w:val="0"/>
      <w:marBottom w:val="0"/>
      <w:divBdr>
        <w:top w:val="none" w:sz="0" w:space="0" w:color="auto"/>
        <w:left w:val="none" w:sz="0" w:space="0" w:color="auto"/>
        <w:bottom w:val="none" w:sz="0" w:space="0" w:color="auto"/>
        <w:right w:val="none" w:sz="0" w:space="0" w:color="auto"/>
      </w:divBdr>
    </w:div>
    <w:div w:id="1269121758">
      <w:bodyDiv w:val="1"/>
      <w:marLeft w:val="0"/>
      <w:marRight w:val="0"/>
      <w:marTop w:val="0"/>
      <w:marBottom w:val="0"/>
      <w:divBdr>
        <w:top w:val="none" w:sz="0" w:space="0" w:color="auto"/>
        <w:left w:val="none" w:sz="0" w:space="0" w:color="auto"/>
        <w:bottom w:val="none" w:sz="0" w:space="0" w:color="auto"/>
        <w:right w:val="none" w:sz="0" w:space="0" w:color="auto"/>
      </w:divBdr>
    </w:div>
    <w:div w:id="1290089651">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56269440">
      <w:bodyDiv w:val="1"/>
      <w:marLeft w:val="0"/>
      <w:marRight w:val="0"/>
      <w:marTop w:val="0"/>
      <w:marBottom w:val="0"/>
      <w:divBdr>
        <w:top w:val="none" w:sz="0" w:space="0" w:color="auto"/>
        <w:left w:val="none" w:sz="0" w:space="0" w:color="auto"/>
        <w:bottom w:val="none" w:sz="0" w:space="0" w:color="auto"/>
        <w:right w:val="none" w:sz="0" w:space="0" w:color="auto"/>
      </w:divBdr>
    </w:div>
    <w:div w:id="1364985160">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83554933">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4276314">
      <w:bodyDiv w:val="1"/>
      <w:marLeft w:val="0"/>
      <w:marRight w:val="0"/>
      <w:marTop w:val="0"/>
      <w:marBottom w:val="0"/>
      <w:divBdr>
        <w:top w:val="none" w:sz="0" w:space="0" w:color="auto"/>
        <w:left w:val="none" w:sz="0" w:space="0" w:color="auto"/>
        <w:bottom w:val="none" w:sz="0" w:space="0" w:color="auto"/>
        <w:right w:val="none" w:sz="0" w:space="0" w:color="auto"/>
      </w:divBdr>
    </w:div>
    <w:div w:id="141597364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31315204">
      <w:bodyDiv w:val="1"/>
      <w:marLeft w:val="0"/>
      <w:marRight w:val="0"/>
      <w:marTop w:val="0"/>
      <w:marBottom w:val="0"/>
      <w:divBdr>
        <w:top w:val="none" w:sz="0" w:space="0" w:color="auto"/>
        <w:left w:val="none" w:sz="0" w:space="0" w:color="auto"/>
        <w:bottom w:val="none" w:sz="0" w:space="0" w:color="auto"/>
        <w:right w:val="none" w:sz="0" w:space="0" w:color="auto"/>
      </w:divBdr>
    </w:div>
    <w:div w:id="1433937471">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481264178">
      <w:bodyDiv w:val="1"/>
      <w:marLeft w:val="0"/>
      <w:marRight w:val="0"/>
      <w:marTop w:val="0"/>
      <w:marBottom w:val="0"/>
      <w:divBdr>
        <w:top w:val="none" w:sz="0" w:space="0" w:color="auto"/>
        <w:left w:val="none" w:sz="0" w:space="0" w:color="auto"/>
        <w:bottom w:val="none" w:sz="0" w:space="0" w:color="auto"/>
        <w:right w:val="none" w:sz="0" w:space="0" w:color="auto"/>
      </w:divBdr>
    </w:div>
    <w:div w:id="1532256436">
      <w:bodyDiv w:val="1"/>
      <w:marLeft w:val="0"/>
      <w:marRight w:val="0"/>
      <w:marTop w:val="0"/>
      <w:marBottom w:val="0"/>
      <w:divBdr>
        <w:top w:val="none" w:sz="0" w:space="0" w:color="auto"/>
        <w:left w:val="none" w:sz="0" w:space="0" w:color="auto"/>
        <w:bottom w:val="none" w:sz="0" w:space="0" w:color="auto"/>
        <w:right w:val="none" w:sz="0" w:space="0" w:color="auto"/>
      </w:divBdr>
    </w:div>
    <w:div w:id="1537081444">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59898450">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567915896">
      <w:bodyDiv w:val="1"/>
      <w:marLeft w:val="0"/>
      <w:marRight w:val="0"/>
      <w:marTop w:val="0"/>
      <w:marBottom w:val="0"/>
      <w:divBdr>
        <w:top w:val="none" w:sz="0" w:space="0" w:color="auto"/>
        <w:left w:val="none" w:sz="0" w:space="0" w:color="auto"/>
        <w:bottom w:val="none" w:sz="0" w:space="0" w:color="auto"/>
        <w:right w:val="none" w:sz="0" w:space="0" w:color="auto"/>
      </w:divBdr>
    </w:div>
    <w:div w:id="1580749783">
      <w:bodyDiv w:val="1"/>
      <w:marLeft w:val="0"/>
      <w:marRight w:val="0"/>
      <w:marTop w:val="0"/>
      <w:marBottom w:val="0"/>
      <w:divBdr>
        <w:top w:val="none" w:sz="0" w:space="0" w:color="auto"/>
        <w:left w:val="none" w:sz="0" w:space="0" w:color="auto"/>
        <w:bottom w:val="none" w:sz="0" w:space="0" w:color="auto"/>
        <w:right w:val="none" w:sz="0" w:space="0" w:color="auto"/>
      </w:divBdr>
    </w:div>
    <w:div w:id="1616205794">
      <w:bodyDiv w:val="1"/>
      <w:marLeft w:val="0"/>
      <w:marRight w:val="0"/>
      <w:marTop w:val="0"/>
      <w:marBottom w:val="0"/>
      <w:divBdr>
        <w:top w:val="none" w:sz="0" w:space="0" w:color="auto"/>
        <w:left w:val="none" w:sz="0" w:space="0" w:color="auto"/>
        <w:bottom w:val="none" w:sz="0" w:space="0" w:color="auto"/>
        <w:right w:val="none" w:sz="0" w:space="0" w:color="auto"/>
      </w:divBdr>
    </w:div>
    <w:div w:id="1619482794">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38298949">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70061887">
      <w:bodyDiv w:val="1"/>
      <w:marLeft w:val="0"/>
      <w:marRight w:val="0"/>
      <w:marTop w:val="0"/>
      <w:marBottom w:val="0"/>
      <w:divBdr>
        <w:top w:val="none" w:sz="0" w:space="0" w:color="auto"/>
        <w:left w:val="none" w:sz="0" w:space="0" w:color="auto"/>
        <w:bottom w:val="none" w:sz="0" w:space="0" w:color="auto"/>
        <w:right w:val="none" w:sz="0" w:space="0" w:color="auto"/>
      </w:divBdr>
    </w:div>
    <w:div w:id="1690331189">
      <w:bodyDiv w:val="1"/>
      <w:marLeft w:val="0"/>
      <w:marRight w:val="0"/>
      <w:marTop w:val="0"/>
      <w:marBottom w:val="0"/>
      <w:divBdr>
        <w:top w:val="none" w:sz="0" w:space="0" w:color="auto"/>
        <w:left w:val="none" w:sz="0" w:space="0" w:color="auto"/>
        <w:bottom w:val="none" w:sz="0" w:space="0" w:color="auto"/>
        <w:right w:val="none" w:sz="0" w:space="0" w:color="auto"/>
      </w:divBdr>
    </w:div>
    <w:div w:id="1723358587">
      <w:bodyDiv w:val="1"/>
      <w:marLeft w:val="0"/>
      <w:marRight w:val="0"/>
      <w:marTop w:val="0"/>
      <w:marBottom w:val="0"/>
      <w:divBdr>
        <w:top w:val="none" w:sz="0" w:space="0" w:color="auto"/>
        <w:left w:val="none" w:sz="0" w:space="0" w:color="auto"/>
        <w:bottom w:val="none" w:sz="0" w:space="0" w:color="auto"/>
        <w:right w:val="none" w:sz="0" w:space="0" w:color="auto"/>
      </w:divBdr>
    </w:div>
    <w:div w:id="1726760988">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37587376">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759331871">
      <w:bodyDiv w:val="1"/>
      <w:marLeft w:val="0"/>
      <w:marRight w:val="0"/>
      <w:marTop w:val="0"/>
      <w:marBottom w:val="0"/>
      <w:divBdr>
        <w:top w:val="none" w:sz="0" w:space="0" w:color="auto"/>
        <w:left w:val="none" w:sz="0" w:space="0" w:color="auto"/>
        <w:bottom w:val="none" w:sz="0" w:space="0" w:color="auto"/>
        <w:right w:val="none" w:sz="0" w:space="0" w:color="auto"/>
      </w:divBdr>
    </w:div>
    <w:div w:id="1772772850">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24925955">
      <w:bodyDiv w:val="1"/>
      <w:marLeft w:val="0"/>
      <w:marRight w:val="0"/>
      <w:marTop w:val="0"/>
      <w:marBottom w:val="0"/>
      <w:divBdr>
        <w:top w:val="none" w:sz="0" w:space="0" w:color="auto"/>
        <w:left w:val="none" w:sz="0" w:space="0" w:color="auto"/>
        <w:bottom w:val="none" w:sz="0" w:space="0" w:color="auto"/>
        <w:right w:val="none" w:sz="0" w:space="0" w:color="auto"/>
      </w:divBdr>
    </w:div>
    <w:div w:id="1851530252">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03370829">
      <w:bodyDiv w:val="1"/>
      <w:marLeft w:val="0"/>
      <w:marRight w:val="0"/>
      <w:marTop w:val="0"/>
      <w:marBottom w:val="0"/>
      <w:divBdr>
        <w:top w:val="none" w:sz="0" w:space="0" w:color="auto"/>
        <w:left w:val="none" w:sz="0" w:space="0" w:color="auto"/>
        <w:bottom w:val="none" w:sz="0" w:space="0" w:color="auto"/>
        <w:right w:val="none" w:sz="0" w:space="0" w:color="auto"/>
      </w:divBdr>
    </w:div>
    <w:div w:id="1913999567">
      <w:bodyDiv w:val="1"/>
      <w:marLeft w:val="0"/>
      <w:marRight w:val="0"/>
      <w:marTop w:val="0"/>
      <w:marBottom w:val="0"/>
      <w:divBdr>
        <w:top w:val="none" w:sz="0" w:space="0" w:color="auto"/>
        <w:left w:val="none" w:sz="0" w:space="0" w:color="auto"/>
        <w:bottom w:val="none" w:sz="0" w:space="0" w:color="auto"/>
        <w:right w:val="none" w:sz="0" w:space="0" w:color="auto"/>
      </w:divBdr>
    </w:div>
    <w:div w:id="1915775507">
      <w:bodyDiv w:val="1"/>
      <w:marLeft w:val="0"/>
      <w:marRight w:val="0"/>
      <w:marTop w:val="0"/>
      <w:marBottom w:val="0"/>
      <w:divBdr>
        <w:top w:val="none" w:sz="0" w:space="0" w:color="auto"/>
        <w:left w:val="none" w:sz="0" w:space="0" w:color="auto"/>
        <w:bottom w:val="none" w:sz="0" w:space="0" w:color="auto"/>
        <w:right w:val="none" w:sz="0" w:space="0" w:color="auto"/>
      </w:divBdr>
    </w:div>
    <w:div w:id="1937790984">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1991596248">
      <w:bodyDiv w:val="1"/>
      <w:marLeft w:val="0"/>
      <w:marRight w:val="0"/>
      <w:marTop w:val="0"/>
      <w:marBottom w:val="0"/>
      <w:divBdr>
        <w:top w:val="none" w:sz="0" w:space="0" w:color="auto"/>
        <w:left w:val="none" w:sz="0" w:space="0" w:color="auto"/>
        <w:bottom w:val="none" w:sz="0" w:space="0" w:color="auto"/>
        <w:right w:val="none" w:sz="0" w:space="0" w:color="auto"/>
      </w:divBdr>
    </w:div>
    <w:div w:id="2001276612">
      <w:bodyDiv w:val="1"/>
      <w:marLeft w:val="0"/>
      <w:marRight w:val="0"/>
      <w:marTop w:val="0"/>
      <w:marBottom w:val="0"/>
      <w:divBdr>
        <w:top w:val="none" w:sz="0" w:space="0" w:color="auto"/>
        <w:left w:val="none" w:sz="0" w:space="0" w:color="auto"/>
        <w:bottom w:val="none" w:sz="0" w:space="0" w:color="auto"/>
        <w:right w:val="none" w:sz="0" w:space="0" w:color="auto"/>
      </w:divBdr>
    </w:div>
    <w:div w:id="2003269296">
      <w:bodyDiv w:val="1"/>
      <w:marLeft w:val="0"/>
      <w:marRight w:val="0"/>
      <w:marTop w:val="0"/>
      <w:marBottom w:val="0"/>
      <w:divBdr>
        <w:top w:val="none" w:sz="0" w:space="0" w:color="auto"/>
        <w:left w:val="none" w:sz="0" w:space="0" w:color="auto"/>
        <w:bottom w:val="none" w:sz="0" w:space="0" w:color="auto"/>
        <w:right w:val="none" w:sz="0" w:space="0" w:color="auto"/>
      </w:divBdr>
    </w:div>
    <w:div w:id="2018267998">
      <w:bodyDiv w:val="1"/>
      <w:marLeft w:val="0"/>
      <w:marRight w:val="0"/>
      <w:marTop w:val="0"/>
      <w:marBottom w:val="0"/>
      <w:divBdr>
        <w:top w:val="none" w:sz="0" w:space="0" w:color="auto"/>
        <w:left w:val="none" w:sz="0" w:space="0" w:color="auto"/>
        <w:bottom w:val="none" w:sz="0" w:space="0" w:color="auto"/>
        <w:right w:val="none" w:sz="0" w:space="0" w:color="auto"/>
      </w:divBdr>
    </w:div>
    <w:div w:id="2043555743">
      <w:bodyDiv w:val="1"/>
      <w:marLeft w:val="0"/>
      <w:marRight w:val="0"/>
      <w:marTop w:val="0"/>
      <w:marBottom w:val="0"/>
      <w:divBdr>
        <w:top w:val="none" w:sz="0" w:space="0" w:color="auto"/>
        <w:left w:val="none" w:sz="0" w:space="0" w:color="auto"/>
        <w:bottom w:val="none" w:sz="0" w:space="0" w:color="auto"/>
        <w:right w:val="none" w:sz="0" w:space="0" w:color="auto"/>
      </w:divBdr>
    </w:div>
    <w:div w:id="2053460817">
      <w:bodyDiv w:val="1"/>
      <w:marLeft w:val="0"/>
      <w:marRight w:val="0"/>
      <w:marTop w:val="0"/>
      <w:marBottom w:val="0"/>
      <w:divBdr>
        <w:top w:val="none" w:sz="0" w:space="0" w:color="auto"/>
        <w:left w:val="none" w:sz="0" w:space="0" w:color="auto"/>
        <w:bottom w:val="none" w:sz="0" w:space="0" w:color="auto"/>
        <w:right w:val="none" w:sz="0" w:space="0" w:color="auto"/>
      </w:divBdr>
    </w:div>
    <w:div w:id="2063288100">
      <w:bodyDiv w:val="1"/>
      <w:marLeft w:val="0"/>
      <w:marRight w:val="0"/>
      <w:marTop w:val="0"/>
      <w:marBottom w:val="0"/>
      <w:divBdr>
        <w:top w:val="none" w:sz="0" w:space="0" w:color="auto"/>
        <w:left w:val="none" w:sz="0" w:space="0" w:color="auto"/>
        <w:bottom w:val="none" w:sz="0" w:space="0" w:color="auto"/>
        <w:right w:val="none" w:sz="0" w:space="0" w:color="auto"/>
      </w:divBdr>
    </w:div>
    <w:div w:id="2066247172">
      <w:bodyDiv w:val="1"/>
      <w:marLeft w:val="0"/>
      <w:marRight w:val="0"/>
      <w:marTop w:val="0"/>
      <w:marBottom w:val="0"/>
      <w:divBdr>
        <w:top w:val="none" w:sz="0" w:space="0" w:color="auto"/>
        <w:left w:val="none" w:sz="0" w:space="0" w:color="auto"/>
        <w:bottom w:val="none" w:sz="0" w:space="0" w:color="auto"/>
        <w:right w:val="none" w:sz="0" w:space="0" w:color="auto"/>
      </w:divBdr>
    </w:div>
    <w:div w:id="208283073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089647736">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5213F-AE03-4FAB-BF5A-6301A42D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4248</Words>
  <Characters>23366</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Katell KP. PERENNOU</dc:creator>
  <cp:lastModifiedBy>Thibault TM. MARAIS</cp:lastModifiedBy>
  <cp:revision>4</cp:revision>
  <cp:lastPrinted>2019-12-03T18:24:00Z</cp:lastPrinted>
  <dcterms:created xsi:type="dcterms:W3CDTF">2020-07-22T22:42:00Z</dcterms:created>
  <dcterms:modified xsi:type="dcterms:W3CDTF">2020-07-22T22:50:00Z</dcterms:modified>
</cp:coreProperties>
</file>