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693F08" w:rsidRDefault="00CE47CE" w:rsidP="00CE47CE">
      <w:pPr>
        <w:pStyle w:val="Sansinterligne"/>
        <w:rPr>
          <w:rFonts w:asciiTheme="majorHAnsi" w:hAnsiTheme="majorHAnsi"/>
          <w:lang w:eastAsia="fr-FR"/>
        </w:rPr>
      </w:pPr>
      <w:r w:rsidRPr="00693F08">
        <w:rPr>
          <w:rFonts w:asciiTheme="majorHAnsi" w:hAnsiTheme="majorHAnsi"/>
          <w:noProof/>
          <w:lang w:eastAsia="fr-FR"/>
        </w:rPr>
        <w:drawing>
          <wp:anchor distT="0" distB="0" distL="114300" distR="114300" simplePos="0" relativeHeight="251659264" behindDoc="1" locked="0" layoutInCell="1" allowOverlap="1" wp14:anchorId="340143FC" wp14:editId="2F99E627">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3F08">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3E1F2436" wp14:editId="4BBCEE6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F2436"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3F08">
        <w:rPr>
          <w:rFonts w:asciiTheme="majorHAnsi" w:hAnsiTheme="majorHAnsi"/>
          <w:lang w:eastAsia="fr-FR"/>
        </w:rPr>
        <w:tab/>
        <w:t xml:space="preserve">      </w:t>
      </w:r>
    </w:p>
    <w:p w:rsidR="00CE47CE" w:rsidRPr="00693F08" w:rsidRDefault="00CE47CE" w:rsidP="00CE47CE">
      <w:pPr>
        <w:jc w:val="cente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tabs>
          <w:tab w:val="center" w:pos="4533"/>
          <w:tab w:val="left" w:pos="6544"/>
        </w:tabs>
        <w:rPr>
          <w:rFonts w:asciiTheme="majorHAnsi" w:hAnsiTheme="majorHAnsi"/>
          <w:u w:val="single"/>
        </w:rPr>
      </w:pPr>
      <w:r w:rsidRPr="00693F08">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A11D303" wp14:editId="08D8D06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80C08F"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693F08" w:rsidRDefault="00CE47CE" w:rsidP="00CE47CE">
      <w:pPr>
        <w:tabs>
          <w:tab w:val="left" w:pos="3240"/>
        </w:tabs>
        <w:jc w:val="center"/>
        <w:rPr>
          <w:rFonts w:asciiTheme="majorHAnsi" w:hAnsiTheme="majorHAnsi" w:cs="Arial"/>
          <w:b/>
        </w:rPr>
      </w:pPr>
      <w:r w:rsidRPr="00693F08">
        <w:rPr>
          <w:rFonts w:asciiTheme="majorHAnsi" w:hAnsiTheme="majorHAnsi" w:cs="Arial"/>
          <w:b/>
        </w:rPr>
        <w:t>BUREAU DE LA COMMUNICATION</w:t>
      </w:r>
    </w:p>
    <w:p w:rsidR="00CE47CE" w:rsidRPr="00693F08" w:rsidRDefault="003E14F8" w:rsidP="00CE47CE">
      <w:pPr>
        <w:tabs>
          <w:tab w:val="left" w:pos="3240"/>
        </w:tabs>
        <w:jc w:val="center"/>
        <w:rPr>
          <w:rFonts w:asciiTheme="majorHAnsi" w:hAnsiTheme="majorHAnsi" w:cs="Arial"/>
          <w:b/>
          <w:i/>
        </w:rPr>
      </w:pPr>
      <w:r>
        <w:rPr>
          <w:rFonts w:asciiTheme="majorHAnsi" w:hAnsiTheme="majorHAnsi" w:cs="Arial"/>
          <w:b/>
          <w:i/>
        </w:rPr>
        <w:t>Mercredi 12</w:t>
      </w:r>
      <w:r w:rsidR="00F553AE">
        <w:rPr>
          <w:rFonts w:asciiTheme="majorHAnsi" w:hAnsiTheme="majorHAnsi" w:cs="Arial"/>
          <w:b/>
          <w:i/>
        </w:rPr>
        <w:t xml:space="preserve"> août</w:t>
      </w:r>
      <w:r w:rsidR="00015FF2" w:rsidRPr="00693F08">
        <w:rPr>
          <w:rFonts w:asciiTheme="majorHAnsi" w:hAnsiTheme="majorHAnsi" w:cs="Arial"/>
          <w:b/>
          <w:i/>
        </w:rPr>
        <w:t xml:space="preserve"> </w:t>
      </w:r>
      <w:r w:rsidR="00087CFE" w:rsidRPr="00693F08">
        <w:rPr>
          <w:rFonts w:asciiTheme="majorHAnsi" w:hAnsiTheme="majorHAnsi" w:cs="Arial"/>
          <w:b/>
          <w:i/>
        </w:rPr>
        <w:t>2020</w:t>
      </w:r>
    </w:p>
    <w:p w:rsidR="00CE47CE" w:rsidRPr="00693F08" w:rsidRDefault="00CE47CE" w:rsidP="00CE47CE">
      <w:pPr>
        <w:tabs>
          <w:tab w:val="left" w:pos="3240"/>
        </w:tabs>
        <w:jc w:val="center"/>
        <w:rPr>
          <w:rFonts w:asciiTheme="majorHAnsi" w:hAnsiTheme="majorHAnsi"/>
        </w:rPr>
      </w:pPr>
      <w:r w:rsidRPr="00693F08">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00C04070" wp14:editId="6A74B890">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70D7B"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693F08" w:rsidRDefault="00CE47CE" w:rsidP="00CE47CE">
      <w:pPr>
        <w:tabs>
          <w:tab w:val="left" w:pos="3240"/>
        </w:tabs>
        <w:rPr>
          <w:rFonts w:asciiTheme="majorHAnsi" w:hAnsiTheme="majorHAnsi" w:cs="Arial"/>
          <w:b/>
          <w:i/>
        </w:rPr>
      </w:pPr>
    </w:p>
    <w:p w:rsidR="00CE47CE" w:rsidRPr="00693F08"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3F08">
        <w:rPr>
          <w:rFonts w:asciiTheme="majorHAnsi" w:hAnsiTheme="majorHAnsi"/>
          <w:b/>
        </w:rPr>
        <w:tab/>
        <w:t xml:space="preserve">Compte rendu du Conseil des ministres </w:t>
      </w:r>
    </w:p>
    <w:p w:rsidR="009179FF" w:rsidRDefault="009179FF" w:rsidP="009179FF">
      <w:pPr>
        <w:rPr>
          <w:rFonts w:ascii="Cambria" w:hAnsi="Cambria"/>
        </w:rPr>
      </w:pPr>
    </w:p>
    <w:p w:rsidR="0007390E" w:rsidRDefault="0007390E" w:rsidP="00EB0736">
      <w:pPr>
        <w:spacing w:after="120"/>
        <w:jc w:val="both"/>
        <w:rPr>
          <w:rFonts w:asciiTheme="majorHAnsi" w:hAnsiTheme="majorHAnsi"/>
          <w:b/>
          <w:bCs/>
        </w:rPr>
      </w:pPr>
    </w:p>
    <w:p w:rsidR="00BE6C5B" w:rsidRPr="00BE6C5B" w:rsidRDefault="00BE6C5B" w:rsidP="00BE6C5B">
      <w:pPr>
        <w:spacing w:after="120"/>
        <w:jc w:val="both"/>
        <w:rPr>
          <w:rFonts w:ascii="Cambria" w:hAnsi="Cambria"/>
          <w:b/>
          <w:bCs/>
          <w:lang w:eastAsia="fr-FR"/>
        </w:rPr>
      </w:pPr>
      <w:r w:rsidRPr="00BE6C5B">
        <w:rPr>
          <w:rFonts w:ascii="Cambria" w:hAnsi="Cambria"/>
          <w:b/>
          <w:bCs/>
        </w:rPr>
        <w:t>Subventions pour des dossiers instruits par la Délégation pour le développement des communes</w:t>
      </w:r>
    </w:p>
    <w:p w:rsidR="00BE6C5B" w:rsidRPr="00BE6C5B" w:rsidRDefault="00BE6C5B" w:rsidP="00BE6C5B">
      <w:pPr>
        <w:spacing w:after="120"/>
        <w:jc w:val="both"/>
        <w:rPr>
          <w:rFonts w:ascii="Cambria" w:hAnsi="Cambria"/>
        </w:rPr>
      </w:pPr>
      <w:r w:rsidRPr="00BE6C5B">
        <w:rPr>
          <w:rFonts w:ascii="Cambria" w:hAnsi="Cambria"/>
        </w:rPr>
        <w:t xml:space="preserve">Dans le cadre de la politique du Pays d’accompagnement et de soutien des opérations d’investissement des communes, le Conseil des ministres a validé </w:t>
      </w:r>
      <w:r w:rsidRPr="00BE6C5B">
        <w:rPr>
          <w:rFonts w:ascii="Cambria" w:hAnsi="Cambria"/>
          <w:bCs/>
        </w:rPr>
        <w:t>8</w:t>
      </w:r>
      <w:r w:rsidRPr="00BE6C5B">
        <w:rPr>
          <w:rFonts w:ascii="Cambria" w:hAnsi="Cambria"/>
        </w:rPr>
        <w:t xml:space="preserve"> nouveaux octrois de financement, au profit de plusieurs communes, issus de la session de programmation des dossiers reçus par la Délégation pour le développement des communes en août 2019.</w:t>
      </w:r>
    </w:p>
    <w:p w:rsidR="00BE6C5B" w:rsidRPr="00BE6C5B" w:rsidRDefault="00BE6C5B" w:rsidP="00BE6C5B">
      <w:pPr>
        <w:spacing w:after="120"/>
        <w:jc w:val="both"/>
        <w:rPr>
          <w:rFonts w:ascii="Cambria" w:hAnsi="Cambria"/>
        </w:rPr>
      </w:pPr>
      <w:r w:rsidRPr="00BE6C5B">
        <w:rPr>
          <w:rFonts w:ascii="Cambria" w:hAnsi="Cambria"/>
        </w:rPr>
        <w:t xml:space="preserve">Ceux-ci représentent une enveloppe du Pays, de plus de </w:t>
      </w:r>
      <w:r w:rsidRPr="00BE6C5B">
        <w:rPr>
          <w:rFonts w:ascii="Cambria" w:hAnsi="Cambria"/>
          <w:bCs/>
        </w:rPr>
        <w:t>40 millions</w:t>
      </w:r>
      <w:r w:rsidRPr="00BE6C5B">
        <w:rPr>
          <w:rFonts w:ascii="Cambria" w:hAnsi="Cambria"/>
        </w:rPr>
        <w:t xml:space="preserve"> </w:t>
      </w:r>
      <w:proofErr w:type="spellStart"/>
      <w:r w:rsidRPr="00BE6C5B">
        <w:rPr>
          <w:rFonts w:ascii="Cambria" w:hAnsi="Cambria"/>
        </w:rPr>
        <w:t>Fcfp</w:t>
      </w:r>
      <w:proofErr w:type="spellEnd"/>
      <w:r w:rsidRPr="00BE6C5B">
        <w:rPr>
          <w:rFonts w:ascii="Cambria" w:hAnsi="Cambria"/>
        </w:rPr>
        <w:t xml:space="preserve">, pour des investissements communaux de </w:t>
      </w:r>
      <w:r w:rsidRPr="00BE6C5B">
        <w:rPr>
          <w:rFonts w:ascii="Cambria" w:hAnsi="Cambria"/>
          <w:bCs/>
        </w:rPr>
        <w:t xml:space="preserve">près de 80 millions </w:t>
      </w:r>
      <w:proofErr w:type="spellStart"/>
      <w:r w:rsidRPr="00BE6C5B">
        <w:rPr>
          <w:rFonts w:ascii="Cambria" w:hAnsi="Cambria"/>
          <w:bCs/>
        </w:rPr>
        <w:t>Fcfp</w:t>
      </w:r>
      <w:proofErr w:type="spellEnd"/>
      <w:r w:rsidRPr="00BE6C5B">
        <w:rPr>
          <w:rFonts w:ascii="Cambria" w:hAnsi="Cambria"/>
        </w:rPr>
        <w:t>, soit un taux de participation de plus de 55 %.</w:t>
      </w:r>
    </w:p>
    <w:p w:rsidR="00BE6C5B" w:rsidRPr="00BE6C5B" w:rsidRDefault="00BE6C5B" w:rsidP="00BE6C5B">
      <w:pPr>
        <w:spacing w:after="120"/>
        <w:jc w:val="both"/>
        <w:rPr>
          <w:rFonts w:ascii="Cambria" w:hAnsi="Cambria"/>
        </w:rPr>
      </w:pPr>
      <w:r w:rsidRPr="00BE6C5B">
        <w:rPr>
          <w:rFonts w:ascii="Cambria" w:hAnsi="Cambria"/>
        </w:rPr>
        <w:t xml:space="preserve">Près de 20 millions </w:t>
      </w:r>
      <w:proofErr w:type="spellStart"/>
      <w:r w:rsidRPr="00BE6C5B">
        <w:rPr>
          <w:rFonts w:ascii="Cambria" w:hAnsi="Cambria"/>
        </w:rPr>
        <w:t>Fcfp</w:t>
      </w:r>
      <w:proofErr w:type="spellEnd"/>
      <w:r w:rsidRPr="00BE6C5B">
        <w:rPr>
          <w:rFonts w:ascii="Cambria" w:hAnsi="Cambria"/>
        </w:rPr>
        <w:t xml:space="preserve"> de ces octrois de financement concernent des travaux de rénovation et d’aménagements, notamment d’une voirie à Makatea, et pour les communes de </w:t>
      </w:r>
      <w:proofErr w:type="spellStart"/>
      <w:r w:rsidRPr="00BE6C5B">
        <w:rPr>
          <w:rFonts w:ascii="Cambria" w:hAnsi="Cambria"/>
        </w:rPr>
        <w:t>Hitiaa</w:t>
      </w:r>
      <w:proofErr w:type="spellEnd"/>
      <w:r w:rsidRPr="00BE6C5B">
        <w:rPr>
          <w:rFonts w:ascii="Cambria" w:hAnsi="Cambria"/>
        </w:rPr>
        <w:t xml:space="preserve"> O Te Ra et </w:t>
      </w:r>
      <w:proofErr w:type="spellStart"/>
      <w:r w:rsidRPr="00BE6C5B">
        <w:rPr>
          <w:rFonts w:ascii="Cambria" w:hAnsi="Cambria"/>
        </w:rPr>
        <w:t>Rangiroa</w:t>
      </w:r>
      <w:proofErr w:type="spellEnd"/>
      <w:r w:rsidRPr="00BE6C5B">
        <w:rPr>
          <w:rFonts w:ascii="Cambria" w:hAnsi="Cambria"/>
        </w:rPr>
        <w:t xml:space="preserve">. Les </w:t>
      </w:r>
      <w:r w:rsidRPr="00BE6C5B">
        <w:rPr>
          <w:rFonts w:ascii="Cambria" w:hAnsi="Cambria"/>
          <w:bCs/>
        </w:rPr>
        <w:t xml:space="preserve">20 </w:t>
      </w:r>
      <w:r w:rsidR="009E609F">
        <w:rPr>
          <w:rFonts w:ascii="Cambria" w:hAnsi="Cambria"/>
          <w:bCs/>
        </w:rPr>
        <w:t xml:space="preserve">autres </w:t>
      </w:r>
      <w:r w:rsidRPr="00BE6C5B">
        <w:rPr>
          <w:rFonts w:ascii="Cambria" w:hAnsi="Cambria"/>
          <w:bCs/>
        </w:rPr>
        <w:t>millions</w:t>
      </w:r>
      <w:r w:rsidRPr="00BE6C5B">
        <w:rPr>
          <w:rFonts w:ascii="Cambria" w:hAnsi="Cambria"/>
        </w:rPr>
        <w:t xml:space="preserve"> </w:t>
      </w:r>
      <w:proofErr w:type="spellStart"/>
      <w:r w:rsidRPr="00BE6C5B">
        <w:rPr>
          <w:rFonts w:ascii="Cambria" w:hAnsi="Cambria"/>
        </w:rPr>
        <w:t>Fcfp</w:t>
      </w:r>
      <w:proofErr w:type="spellEnd"/>
      <w:r w:rsidRPr="00BE6C5B">
        <w:rPr>
          <w:rFonts w:ascii="Cambria" w:hAnsi="Cambria"/>
        </w:rPr>
        <w:t xml:space="preserve"> concernent des acquisitions d’engins et d’un groupe électrogène à destination des communes de Napuka, </w:t>
      </w:r>
      <w:proofErr w:type="spellStart"/>
      <w:r w:rsidRPr="00BE6C5B">
        <w:rPr>
          <w:rFonts w:ascii="Cambria" w:hAnsi="Cambria"/>
        </w:rPr>
        <w:t>Taiarapu</w:t>
      </w:r>
      <w:proofErr w:type="spellEnd"/>
      <w:r w:rsidRPr="00BE6C5B">
        <w:rPr>
          <w:rFonts w:ascii="Cambria" w:hAnsi="Cambria"/>
        </w:rPr>
        <w:t xml:space="preserve"> Ouest et </w:t>
      </w:r>
      <w:proofErr w:type="spellStart"/>
      <w:r w:rsidRPr="00BE6C5B">
        <w:rPr>
          <w:rFonts w:ascii="Cambria" w:hAnsi="Cambria"/>
        </w:rPr>
        <w:t>Manihi</w:t>
      </w:r>
      <w:proofErr w:type="spellEnd"/>
      <w:r w:rsidRPr="00BE6C5B">
        <w:rPr>
          <w:rFonts w:ascii="Cambria" w:hAnsi="Cambria"/>
        </w:rPr>
        <w:t>.</w:t>
      </w:r>
    </w:p>
    <w:p w:rsidR="00BE6C5B" w:rsidRPr="00BE6C5B" w:rsidRDefault="00BE6C5B" w:rsidP="00BE6C5B">
      <w:pPr>
        <w:spacing w:after="120"/>
        <w:jc w:val="both"/>
        <w:rPr>
          <w:rFonts w:ascii="Cambria" w:hAnsi="Cambria"/>
        </w:rPr>
      </w:pPr>
      <w:r w:rsidRPr="00BE6C5B">
        <w:rPr>
          <w:rFonts w:ascii="Cambria" w:hAnsi="Cambria"/>
        </w:rPr>
        <w:t>Au travers de l’ensemble de ces financements, le Gouvernement manifeste aux communes son soutien, constant depuis 2014, en plaçant les conditions et la qualité de vie des populations de l’ensemble des archipels au centre de ses préoccupations.</w:t>
      </w:r>
    </w:p>
    <w:p w:rsidR="00D46250" w:rsidRDefault="00D46250" w:rsidP="003E14F8">
      <w:pPr>
        <w:spacing w:after="120"/>
        <w:jc w:val="both"/>
        <w:rPr>
          <w:rFonts w:asciiTheme="majorHAnsi" w:hAnsiTheme="majorHAnsi"/>
        </w:rPr>
      </w:pPr>
    </w:p>
    <w:p w:rsidR="00E97051" w:rsidRDefault="00E97051" w:rsidP="00E97051">
      <w:pPr>
        <w:pStyle w:val="-LettreTexteGEDA"/>
        <w:spacing w:before="0"/>
        <w:ind w:firstLine="0"/>
        <w:rPr>
          <w:rFonts w:ascii="Cambria" w:hAnsi="Cambria"/>
          <w:b/>
          <w:bCs/>
          <w:sz w:val="20"/>
        </w:rPr>
      </w:pPr>
      <w:r>
        <w:rPr>
          <w:rFonts w:ascii="Cambria" w:hAnsi="Cambria"/>
          <w:b/>
          <w:bCs/>
        </w:rPr>
        <w:t>Le Vice-président habilité à signer deux emprunts d’un montant total de 4,176 milliards Fcfp au titre du plan de financement du budget d’investissement de l’année 2020</w:t>
      </w:r>
    </w:p>
    <w:p w:rsidR="00E97051" w:rsidRDefault="00E97051" w:rsidP="00E97051">
      <w:pPr>
        <w:pStyle w:val="-LettreTexteGEDA"/>
        <w:spacing w:before="0"/>
        <w:ind w:firstLine="0"/>
        <w:rPr>
          <w:rFonts w:ascii="Cambria" w:hAnsi="Cambria"/>
        </w:rPr>
      </w:pPr>
    </w:p>
    <w:p w:rsidR="00E97051" w:rsidRDefault="00E97051" w:rsidP="00E97051">
      <w:pPr>
        <w:pStyle w:val="-LettreTexteGEDA"/>
        <w:spacing w:before="0"/>
        <w:ind w:firstLine="0"/>
        <w:rPr>
          <w:rFonts w:ascii="Cambria" w:hAnsi="Cambria"/>
          <w:lang w:val="fr-BE"/>
        </w:rPr>
      </w:pPr>
    </w:p>
    <w:p w:rsidR="00E97051" w:rsidRDefault="00E97051" w:rsidP="00E97051">
      <w:pPr>
        <w:pStyle w:val="-LettreTexteGEDA"/>
        <w:spacing w:before="0"/>
        <w:ind w:firstLine="0"/>
        <w:rPr>
          <w:rFonts w:ascii="Cambria" w:hAnsi="Cambria"/>
          <w:lang w:val="fr-BE"/>
        </w:rPr>
      </w:pPr>
      <w:r>
        <w:rPr>
          <w:rFonts w:ascii="Cambria" w:hAnsi="Cambria"/>
          <w:lang w:val="fr-BE"/>
        </w:rPr>
        <w:t>Le Conseil des ministres a habilité le Vice-président de la Polynésie française, ministre en charge des finances, à signer deux emprunts d’un montant total de 4,176 milliards Fcfp, soit 35 millions d’euros, auprès de l’Agence France Locale (AFL) pour le financement partiel des investissement du Pays au titre de l’année 2020.</w:t>
      </w:r>
    </w:p>
    <w:p w:rsidR="00E97051" w:rsidRDefault="00E97051" w:rsidP="00E97051">
      <w:pPr>
        <w:pStyle w:val="-LettreTexteGEDA"/>
        <w:spacing w:before="0"/>
        <w:ind w:firstLine="0"/>
        <w:rPr>
          <w:rFonts w:ascii="Cambria" w:hAnsi="Cambria"/>
          <w:lang w:val="fr-BE"/>
        </w:rPr>
      </w:pPr>
    </w:p>
    <w:p w:rsidR="00E97051" w:rsidRDefault="00E97051" w:rsidP="00E97051">
      <w:pPr>
        <w:pStyle w:val="-LettreTexteGEDA"/>
        <w:spacing w:before="0"/>
        <w:ind w:firstLine="0"/>
        <w:rPr>
          <w:rFonts w:ascii="Cambria" w:hAnsi="Cambria"/>
          <w:lang w:val="fr-BE"/>
        </w:rPr>
      </w:pPr>
      <w:r>
        <w:rPr>
          <w:rFonts w:ascii="Cambria" w:hAnsi="Cambria"/>
          <w:lang w:val="fr-BE"/>
        </w:rPr>
        <w:t xml:space="preserve">L’AFL est un établissement de crédit détenu à 100 % par des collectivités locales auxquelles elle accorde des prêts dans des conditions souvent très compétitives grâce à des emprunts contractés sur le marché obligataire. La Polynésie française a adhéré à cette entité en janvier 2017. </w:t>
      </w:r>
    </w:p>
    <w:p w:rsidR="00E97051" w:rsidRDefault="00E97051" w:rsidP="00E97051">
      <w:pPr>
        <w:pStyle w:val="-LettreTexteGEDA"/>
        <w:spacing w:before="0"/>
        <w:ind w:firstLine="0"/>
        <w:rPr>
          <w:rFonts w:ascii="Cambria" w:hAnsi="Cambria"/>
          <w:lang w:val="fr-BE"/>
        </w:rPr>
      </w:pPr>
    </w:p>
    <w:p w:rsidR="00E97051" w:rsidRDefault="00E97051" w:rsidP="00E97051">
      <w:pPr>
        <w:pStyle w:val="-LettreTexteGEDA"/>
        <w:spacing w:before="0"/>
        <w:ind w:firstLine="0"/>
        <w:rPr>
          <w:rFonts w:ascii="Cambria" w:hAnsi="Cambria"/>
          <w:lang w:val="fr-BE"/>
        </w:rPr>
      </w:pPr>
      <w:r>
        <w:rPr>
          <w:rFonts w:ascii="Cambria" w:hAnsi="Cambria"/>
          <w:lang w:val="fr-BE"/>
        </w:rPr>
        <w:t xml:space="preserve">Pour 2020, les taux d’intérêts proposés par l’AFL se situent aux alentours de 0,6 % pour permettre aux collectivités de faire face aux effets de la crise Covid-19. </w:t>
      </w:r>
    </w:p>
    <w:p w:rsidR="00E97051" w:rsidRDefault="00E97051" w:rsidP="00E97051">
      <w:pPr>
        <w:pStyle w:val="-LettreTexteGEDA"/>
        <w:spacing w:before="0"/>
        <w:ind w:firstLine="0"/>
        <w:rPr>
          <w:rFonts w:ascii="Cambria" w:hAnsi="Cambria"/>
          <w:lang w:val="fr-BE"/>
        </w:rPr>
      </w:pPr>
    </w:p>
    <w:p w:rsidR="00E97051" w:rsidRDefault="00E97051" w:rsidP="00E97051">
      <w:pPr>
        <w:pStyle w:val="-LettreTexteGEDA"/>
        <w:spacing w:before="0"/>
        <w:ind w:firstLine="0"/>
        <w:rPr>
          <w:rFonts w:ascii="Cambria" w:hAnsi="Cambria"/>
          <w:lang w:val="fr-BE"/>
        </w:rPr>
      </w:pPr>
      <w:r>
        <w:rPr>
          <w:rFonts w:ascii="Cambria" w:hAnsi="Cambria"/>
          <w:lang w:val="fr-BE"/>
        </w:rPr>
        <w:t xml:space="preserve">Ces deux emprunts couvrent en partie les besoins de financement des investissements de la Polynésie française qui se montent cette année à 13,824 milliards Fcfp. </w:t>
      </w:r>
    </w:p>
    <w:p w:rsidR="00E97051" w:rsidRDefault="00E97051" w:rsidP="00E97051">
      <w:pPr>
        <w:pStyle w:val="-LettreTexteGEDA"/>
        <w:spacing w:before="0"/>
        <w:ind w:firstLine="0"/>
        <w:rPr>
          <w:rFonts w:ascii="Cambria" w:hAnsi="Cambria"/>
          <w:lang w:val="fr-BE"/>
        </w:rPr>
      </w:pPr>
    </w:p>
    <w:p w:rsidR="00E97051" w:rsidRDefault="00E97051" w:rsidP="00E97051">
      <w:pPr>
        <w:rPr>
          <w:rFonts w:ascii="Cambria" w:hAnsi="Cambria"/>
        </w:rPr>
      </w:pPr>
    </w:p>
    <w:p w:rsidR="00E97051" w:rsidRDefault="00E97051" w:rsidP="00E97051">
      <w:pPr>
        <w:pStyle w:val="-LettreObjetGEDA"/>
        <w:ind w:left="0" w:firstLine="0"/>
        <w:rPr>
          <w:rFonts w:ascii="Cambria" w:hAnsi="Cambria"/>
          <w:b/>
          <w:bCs/>
        </w:rPr>
      </w:pPr>
      <w:r>
        <w:rPr>
          <w:rFonts w:ascii="Cambria" w:hAnsi="Cambria"/>
          <w:b/>
          <w:bCs/>
        </w:rPr>
        <w:t>Réactivation de la prime à la voiture propre</w:t>
      </w:r>
    </w:p>
    <w:p w:rsidR="00E97051" w:rsidRDefault="00E97051" w:rsidP="00E97051">
      <w:pPr>
        <w:pStyle w:val="-LettreSuiteORefPJGEDA"/>
        <w:rPr>
          <w:rFonts w:ascii="Cambria" w:hAnsi="Cambria"/>
        </w:rPr>
      </w:pPr>
    </w:p>
    <w:p w:rsidR="00E97051" w:rsidRDefault="00E97051" w:rsidP="00E97051">
      <w:pPr>
        <w:pStyle w:val="-LettreTexteGEDA"/>
        <w:ind w:firstLine="0"/>
        <w:rPr>
          <w:rFonts w:ascii="Cambria" w:hAnsi="Cambria"/>
        </w:rPr>
      </w:pPr>
      <w:r>
        <w:rPr>
          <w:rFonts w:ascii="Cambria" w:hAnsi="Cambria"/>
        </w:rPr>
        <w:t xml:space="preserve">Dans le cadre du Plan de relance porté par le Vice-président de la Polynésie française, le Conseil des ministres a approuvé la réactivation du dispositif de prime à la voiture propre par lequel le Pays attribue à toute personne désireuse d’acquérir un véhicule automobile neuf en échange de son ancien véhicule, une aide dont le montant varie selon le mode de motorisation et de la quantité de dioxyde de carbone émise. </w:t>
      </w:r>
    </w:p>
    <w:p w:rsidR="00E97051" w:rsidRDefault="00E97051" w:rsidP="00E97051">
      <w:pPr>
        <w:pStyle w:val="-LettreTexteGEDA"/>
        <w:ind w:firstLine="0"/>
        <w:rPr>
          <w:rFonts w:ascii="Cambria" w:hAnsi="Cambria"/>
        </w:rPr>
      </w:pPr>
      <w:r>
        <w:rPr>
          <w:rFonts w:ascii="Cambria" w:hAnsi="Cambria"/>
        </w:rPr>
        <w:t xml:space="preserve">A cette aide s’ajoute une remise accordée par les concessionnaires qui est au moins égale au montant de l’aide octroyée par la Polynésie française. </w:t>
      </w:r>
    </w:p>
    <w:p w:rsidR="00E97051" w:rsidRDefault="00E97051" w:rsidP="00E97051">
      <w:pPr>
        <w:pStyle w:val="-LettreTexteGEDA"/>
        <w:ind w:firstLine="0"/>
        <w:rPr>
          <w:rFonts w:ascii="Cambria" w:hAnsi="Cambria"/>
        </w:rPr>
      </w:pPr>
      <w:r>
        <w:rPr>
          <w:rFonts w:ascii="Cambria" w:hAnsi="Cambria"/>
        </w:rPr>
        <w:t xml:space="preserve">Toute personne physique, association ou entreprise de moins de dix salariés, propriétaire ou copropriétaire d’un véhicule automobile âgé de sept ans et plus et en état de marche est éligible à cette aide sous réserve que le prix du véhicule neuf soit inférieur ou égal à 4 millions Fcfp. </w:t>
      </w:r>
    </w:p>
    <w:p w:rsidR="00E97051" w:rsidRDefault="00E97051" w:rsidP="00E97051">
      <w:pPr>
        <w:pStyle w:val="-LettreTexteGEDA"/>
        <w:ind w:firstLine="0"/>
        <w:rPr>
          <w:rFonts w:ascii="Cambria" w:hAnsi="Cambria"/>
        </w:rPr>
      </w:pPr>
      <w:r>
        <w:rPr>
          <w:rFonts w:ascii="Cambria" w:hAnsi="Cambria"/>
        </w:rPr>
        <w:t>Cette aide concerne également l’achat de motocycle électrique sans condition de reprise d’un ancien véhicule, sous réserve que le prix de ce motocycle soit inférieur ou égal à 2,5 millions Fcfp.</w:t>
      </w:r>
    </w:p>
    <w:p w:rsidR="00E97051" w:rsidRDefault="00E97051" w:rsidP="00E97051">
      <w:pPr>
        <w:pStyle w:val="-LettreTexteGEDA"/>
        <w:ind w:firstLine="0"/>
        <w:rPr>
          <w:rFonts w:ascii="Cambria" w:hAnsi="Cambria"/>
        </w:rPr>
      </w:pPr>
      <w:r>
        <w:rPr>
          <w:rFonts w:ascii="Cambria" w:hAnsi="Cambria"/>
        </w:rPr>
        <w:t>Le montant de la quote-part du Pays est fixé comme suit, pour tous les véhicules achetés, en fonction du mode de motorisation (électrique ou hybride) ou de la quantité de dioxyde de carbone (C0</w:t>
      </w:r>
      <w:r>
        <w:rPr>
          <w:rFonts w:ascii="Cambria" w:hAnsi="Cambria"/>
          <w:vertAlign w:val="subscript"/>
        </w:rPr>
        <w:t>2</w:t>
      </w:r>
      <w:r>
        <w:rPr>
          <w:rFonts w:ascii="Cambria" w:hAnsi="Cambria"/>
        </w:rPr>
        <w:t>) émise :</w:t>
      </w:r>
    </w:p>
    <w:p w:rsidR="00E97051" w:rsidRDefault="00E97051" w:rsidP="00E97051">
      <w:pPr>
        <w:ind w:firstLine="426"/>
        <w:rPr>
          <w:rFonts w:ascii="Cambria" w:hAnsi="Cambria"/>
        </w:rPr>
      </w:pPr>
    </w:p>
    <w:p w:rsidR="00E97051" w:rsidRDefault="00E97051" w:rsidP="00E97051">
      <w:pPr>
        <w:ind w:left="426" w:hanging="426"/>
        <w:rPr>
          <w:rFonts w:ascii="Cambria" w:hAnsi="Cambria"/>
        </w:rPr>
      </w:pPr>
      <w:r>
        <w:rPr>
          <w:rFonts w:ascii="Cambria" w:hAnsi="Cambria"/>
        </w:rPr>
        <w:t xml:space="preserve">-      pour un véhicule automobile électrique : 250 000 </w:t>
      </w:r>
      <w:proofErr w:type="spellStart"/>
      <w:r>
        <w:rPr>
          <w:rFonts w:ascii="Cambria" w:hAnsi="Cambria"/>
        </w:rPr>
        <w:t>Fcfp</w:t>
      </w:r>
      <w:proofErr w:type="spellEnd"/>
      <w:r>
        <w:rPr>
          <w:rFonts w:ascii="Cambria" w:hAnsi="Cambria"/>
        </w:rPr>
        <w:t>;</w:t>
      </w:r>
    </w:p>
    <w:p w:rsidR="00E97051" w:rsidRDefault="00E97051" w:rsidP="00E97051">
      <w:pPr>
        <w:ind w:left="426" w:hanging="426"/>
        <w:rPr>
          <w:rFonts w:ascii="Cambria" w:hAnsi="Cambria"/>
        </w:rPr>
      </w:pPr>
      <w:r>
        <w:rPr>
          <w:rFonts w:ascii="Cambria" w:hAnsi="Cambria"/>
        </w:rPr>
        <w:t xml:space="preserve">-      pour un véhicule automobile hybride : 225 000 </w:t>
      </w:r>
      <w:proofErr w:type="spellStart"/>
      <w:r>
        <w:rPr>
          <w:rFonts w:ascii="Cambria" w:hAnsi="Cambria"/>
        </w:rPr>
        <w:t>Fcfp</w:t>
      </w:r>
      <w:proofErr w:type="spellEnd"/>
      <w:r>
        <w:rPr>
          <w:rFonts w:ascii="Cambria" w:hAnsi="Cambria"/>
        </w:rPr>
        <w:t>;</w:t>
      </w:r>
    </w:p>
    <w:p w:rsidR="00E97051" w:rsidRDefault="00E97051" w:rsidP="00E97051">
      <w:pPr>
        <w:ind w:left="426" w:hanging="426"/>
        <w:rPr>
          <w:rFonts w:ascii="Cambria" w:hAnsi="Cambria"/>
        </w:rPr>
      </w:pPr>
      <w:r>
        <w:rPr>
          <w:rFonts w:ascii="Cambria" w:hAnsi="Cambria"/>
        </w:rPr>
        <w:t xml:space="preserve">-      pour un véhicule automobile émettant entre 0 et 165 grammes/km : 200 000 </w:t>
      </w:r>
      <w:proofErr w:type="spellStart"/>
      <w:r>
        <w:rPr>
          <w:rFonts w:ascii="Cambria" w:hAnsi="Cambria"/>
        </w:rPr>
        <w:t>Fcfp</w:t>
      </w:r>
      <w:proofErr w:type="spellEnd"/>
      <w:r>
        <w:rPr>
          <w:rFonts w:ascii="Cambria" w:hAnsi="Cambria"/>
        </w:rPr>
        <w:t>;</w:t>
      </w:r>
    </w:p>
    <w:p w:rsidR="00E97051" w:rsidRDefault="00E97051" w:rsidP="00E97051">
      <w:pPr>
        <w:ind w:left="426" w:hanging="426"/>
        <w:rPr>
          <w:rFonts w:ascii="Cambria" w:hAnsi="Cambria"/>
        </w:rPr>
      </w:pPr>
      <w:r>
        <w:rPr>
          <w:rFonts w:ascii="Cambria" w:hAnsi="Cambria"/>
        </w:rPr>
        <w:t xml:space="preserve">-      pour un véhicule automobile émettant entre 166 et 210 grammes/km : 150 000 </w:t>
      </w:r>
      <w:proofErr w:type="spellStart"/>
      <w:r>
        <w:rPr>
          <w:rFonts w:ascii="Cambria" w:hAnsi="Cambria"/>
        </w:rPr>
        <w:t>Fcfp</w:t>
      </w:r>
      <w:proofErr w:type="spellEnd"/>
      <w:r>
        <w:rPr>
          <w:rFonts w:ascii="Cambria" w:hAnsi="Cambria"/>
        </w:rPr>
        <w:t>;</w:t>
      </w:r>
    </w:p>
    <w:p w:rsidR="00E97051" w:rsidRDefault="00E97051" w:rsidP="00E97051">
      <w:pPr>
        <w:ind w:left="426" w:hanging="426"/>
        <w:rPr>
          <w:rFonts w:ascii="Cambria" w:hAnsi="Cambria"/>
        </w:rPr>
      </w:pPr>
      <w:r>
        <w:rPr>
          <w:rFonts w:ascii="Cambria" w:hAnsi="Cambria"/>
        </w:rPr>
        <w:t xml:space="preserve">-      pour un motocycle électrique : 80 000 </w:t>
      </w:r>
      <w:proofErr w:type="spellStart"/>
      <w:r>
        <w:rPr>
          <w:rFonts w:ascii="Cambria" w:hAnsi="Cambria"/>
        </w:rPr>
        <w:t>Fcfp</w:t>
      </w:r>
      <w:proofErr w:type="spellEnd"/>
      <w:r>
        <w:rPr>
          <w:rFonts w:ascii="Cambria" w:hAnsi="Cambria"/>
        </w:rPr>
        <w:t>.</w:t>
      </w:r>
    </w:p>
    <w:p w:rsidR="00E97051" w:rsidRDefault="00E97051" w:rsidP="00E97051">
      <w:pPr>
        <w:ind w:left="426" w:hanging="426"/>
        <w:rPr>
          <w:rFonts w:ascii="Cambria" w:hAnsi="Cambria"/>
        </w:rPr>
      </w:pPr>
    </w:p>
    <w:p w:rsidR="00E97051" w:rsidRDefault="00E97051" w:rsidP="00E97051">
      <w:pPr>
        <w:jc w:val="both"/>
        <w:rPr>
          <w:rFonts w:ascii="Cambria" w:hAnsi="Cambria"/>
        </w:rPr>
      </w:pPr>
      <w:r>
        <w:rPr>
          <w:rFonts w:ascii="Cambria" w:hAnsi="Cambria"/>
        </w:rPr>
        <w:t>Ce dispositif permettra d’accompagner la consommation des ménages en cette période de crise économique et participera au renouvellement d’une partie du parc automobile local vieillissant tout en favorisant l’achat de véhicules plus respectueux de l’environnement.</w:t>
      </w:r>
    </w:p>
    <w:p w:rsidR="00E97051" w:rsidRDefault="00E97051" w:rsidP="00E97051">
      <w:pPr>
        <w:rPr>
          <w:rFonts w:ascii="Cambria" w:hAnsi="Cambria"/>
        </w:rPr>
      </w:pPr>
    </w:p>
    <w:p w:rsidR="00E97051" w:rsidRDefault="00E97051" w:rsidP="00E97051">
      <w:pPr>
        <w:pStyle w:val="-LettreObjetGEDA"/>
        <w:ind w:left="0" w:firstLine="0"/>
        <w:rPr>
          <w:rFonts w:ascii="Cambria" w:hAnsi="Cambria"/>
          <w:b/>
          <w:bCs/>
        </w:rPr>
      </w:pPr>
      <w:r>
        <w:rPr>
          <w:rFonts w:ascii="Cambria" w:hAnsi="Cambria"/>
          <w:b/>
          <w:bCs/>
        </w:rPr>
        <w:t>Modalités de déclaration des loteries dénommées « Bingo »</w:t>
      </w:r>
    </w:p>
    <w:p w:rsidR="00E97051" w:rsidRDefault="00E97051" w:rsidP="00E97051">
      <w:pPr>
        <w:pStyle w:val="-LettreSuiteORefPJGEDA"/>
        <w:rPr>
          <w:rFonts w:ascii="Cambria" w:hAnsi="Cambria"/>
        </w:rPr>
      </w:pPr>
    </w:p>
    <w:p w:rsidR="00E97051" w:rsidRDefault="00E97051" w:rsidP="00E97051">
      <w:pPr>
        <w:pStyle w:val="-LettreTexteGEDA"/>
        <w:spacing w:after="120"/>
        <w:ind w:firstLine="0"/>
        <w:rPr>
          <w:rFonts w:ascii="Cambria" w:hAnsi="Cambria"/>
        </w:rPr>
      </w:pPr>
      <w:r>
        <w:rPr>
          <w:rFonts w:ascii="Cambria" w:hAnsi="Cambria"/>
        </w:rPr>
        <w:t xml:space="preserve">La loi du Pays du 5 décembre 2019 définit les modalités d'organisation des loteries dénommées "Bingo" par les associations, fédérations et organismes agréés. Elle instaure une fiscalité composée d'une part revenant au Pays et d’une autre aux communes. </w:t>
      </w:r>
    </w:p>
    <w:p w:rsidR="00E97051" w:rsidRDefault="00E97051" w:rsidP="00E97051">
      <w:pPr>
        <w:pStyle w:val="-LettreTexteGEDA"/>
        <w:spacing w:after="120"/>
        <w:ind w:firstLine="0"/>
        <w:rPr>
          <w:rFonts w:ascii="Cambria" w:hAnsi="Cambria"/>
        </w:rPr>
      </w:pPr>
      <w:r>
        <w:rPr>
          <w:rFonts w:ascii="Cambria" w:hAnsi="Cambria"/>
        </w:rPr>
        <w:lastRenderedPageBreak/>
        <w:t>Afin de permettre aux organisateurs de déclarer ces loteries, le Conseil des ministres a validé deux déclarations trimestrielles relatives à la taxe sur les loteries dénommées "Bingo", en cas de loteries organisées, soit dans une seule et même commune au cours d’un même mois, ou soit dans plusieurs communes au cours d’un même mois.</w:t>
      </w:r>
    </w:p>
    <w:p w:rsidR="00E97051" w:rsidRDefault="00E97051" w:rsidP="00E97051">
      <w:pPr>
        <w:pStyle w:val="-LettreTexteGEDA"/>
        <w:spacing w:after="120"/>
        <w:rPr>
          <w:rFonts w:ascii="Cambria" w:hAnsi="Cambria"/>
        </w:rPr>
      </w:pPr>
    </w:p>
    <w:p w:rsidR="00E97051" w:rsidRDefault="00E97051" w:rsidP="00E97051">
      <w:pPr>
        <w:pStyle w:val="-LettreObjetGEDA"/>
        <w:ind w:left="0" w:firstLine="0"/>
        <w:rPr>
          <w:rFonts w:ascii="Cambria" w:hAnsi="Cambria"/>
          <w:b/>
          <w:bCs/>
        </w:rPr>
      </w:pPr>
      <w:r>
        <w:rPr>
          <w:rFonts w:ascii="Cambria" w:hAnsi="Cambria"/>
          <w:b/>
          <w:bCs/>
        </w:rPr>
        <w:t>Indice des prix à la consommation: baisse de 0,8% sur douze mois</w:t>
      </w:r>
    </w:p>
    <w:p w:rsidR="00E97051" w:rsidRDefault="00E97051" w:rsidP="00E97051">
      <w:pPr>
        <w:pStyle w:val="-LettreSuiteORefPJGEDA"/>
        <w:rPr>
          <w:rFonts w:ascii="Cambria" w:hAnsi="Cambria"/>
        </w:rPr>
      </w:pPr>
    </w:p>
    <w:p w:rsidR="00E97051" w:rsidRDefault="00E97051" w:rsidP="00E97051">
      <w:pPr>
        <w:pStyle w:val="-LettreTexteGEDA"/>
        <w:spacing w:after="120"/>
        <w:ind w:firstLine="0"/>
        <w:rPr>
          <w:rFonts w:ascii="Cambria" w:hAnsi="Cambria"/>
        </w:rPr>
      </w:pPr>
      <w:r>
        <w:rPr>
          <w:rFonts w:ascii="Cambria" w:hAnsi="Cambria"/>
        </w:rPr>
        <w:t>Au mois de juillet, l'indice des prix à la consommation augmente de 0,4 % et s'établit à 99,36, essentiellement en raison des hausses des prix de 1,0 % dans la division Transports, de 0,5 % dans la division Produits alimentaires et boissons non alcoolisées et de 0,5 % dans la divisi</w:t>
      </w:r>
      <w:r w:rsidR="00BE6C5B">
        <w:rPr>
          <w:rFonts w:ascii="Cambria" w:hAnsi="Cambria"/>
        </w:rPr>
        <w:t>on Boissons alcoolisées et tabacs.</w:t>
      </w:r>
    </w:p>
    <w:p w:rsidR="00E97051" w:rsidRDefault="00E97051" w:rsidP="00E97051">
      <w:pPr>
        <w:pStyle w:val="-LettreTexteGEDA"/>
        <w:spacing w:after="120"/>
        <w:ind w:firstLine="0"/>
        <w:rPr>
          <w:rFonts w:ascii="Cambria" w:hAnsi="Cambria"/>
        </w:rPr>
      </w:pPr>
      <w:r>
        <w:rPr>
          <w:rFonts w:ascii="Cambria" w:hAnsi="Cambria"/>
        </w:rPr>
        <w:t xml:space="preserve">Sur douze mois, l'indice général des prix à la consommation baisse de 0,8 %. L’indice ouvrier reste stable en juillet 2020. Il baisse de 0,4 % en glissement sur douze mois. L'indice général hors Transport aérien international est stable également en juillet et diminue de 0,7 % en glissement sur douze mois. </w:t>
      </w:r>
    </w:p>
    <w:p w:rsidR="00E97051" w:rsidRDefault="00E97051" w:rsidP="00E97051">
      <w:pPr>
        <w:pStyle w:val="-LettreTexteGEDA"/>
        <w:spacing w:before="240"/>
        <w:ind w:firstLine="0"/>
        <w:rPr>
          <w:rFonts w:ascii="Cambria" w:hAnsi="Cambria"/>
        </w:rPr>
      </w:pPr>
      <w:r>
        <w:rPr>
          <w:rFonts w:ascii="Cambria" w:hAnsi="Cambria"/>
        </w:rPr>
        <w:t xml:space="preserve">Toujours pour le mois de juillet, l'index du Bâtiment et des Travaux Publics (BTP) diminue de 0,3 % et s'établit à 108,46. Cette évolution est principalement liée à la baisse de 6,7 % des prix des énergies fossiles et de 0,1 % des prix des matériaux métalliques. Sur douze mois, l'index général du Bâtiment et Travaux publics baisse de 0,2 %. Dans le Bâtiment, l'index du Gros Œuvre est stable et celui du Second Œuvre augmente de 0,1 %. Sur douze mois, l'index général du Bâtiment est en hausse de 0,9 %. Dans les Travaux Publics, l'index du Génie Civil baisse de 0,7 % et celui des Travaux Spécialisés de 1,4 %. Sur douze mois, l'index général des Travaux Publics est en baisse de 1,6 %. </w:t>
      </w:r>
    </w:p>
    <w:p w:rsidR="00E97051" w:rsidRDefault="00E97051" w:rsidP="00E97051">
      <w:pPr>
        <w:pStyle w:val="-LettreSuiteORefPJGEDA"/>
        <w:ind w:left="0"/>
        <w:rPr>
          <w:rFonts w:ascii="Cambria" w:hAnsi="Cambria"/>
        </w:rPr>
      </w:pPr>
    </w:p>
    <w:p w:rsidR="00E97051" w:rsidRDefault="00E97051" w:rsidP="00E97051">
      <w:pPr>
        <w:pStyle w:val="-LettreSuiteORefPJGEDA"/>
        <w:ind w:left="0"/>
        <w:rPr>
          <w:rFonts w:ascii="Cambria" w:hAnsi="Cambria"/>
        </w:rPr>
      </w:pPr>
      <w:r>
        <w:rPr>
          <w:rFonts w:ascii="Cambria" w:hAnsi="Cambria"/>
        </w:rPr>
        <w:t>Pour le mois de juillet également, les index hybrides prennent les valeurs suivantes (base 100 en décembre 2010) :</w:t>
      </w:r>
    </w:p>
    <w:p w:rsidR="00E97051" w:rsidRDefault="00E97051" w:rsidP="00E97051">
      <w:pPr>
        <w:pStyle w:val="-LettreTexteGEDA"/>
        <w:rPr>
          <w:rFonts w:ascii="Cambria" w:hAnsi="Cambria"/>
        </w:rPr>
      </w:pPr>
    </w:p>
    <w:tbl>
      <w:tblPr>
        <w:tblW w:w="9634" w:type="dxa"/>
        <w:tblInd w:w="75" w:type="dxa"/>
        <w:tblCellMar>
          <w:left w:w="0" w:type="dxa"/>
          <w:right w:w="0" w:type="dxa"/>
        </w:tblCellMar>
        <w:tblLook w:val="04A0" w:firstRow="1" w:lastRow="0" w:firstColumn="1" w:lastColumn="0" w:noHBand="0" w:noVBand="1"/>
      </w:tblPr>
      <w:tblGrid>
        <w:gridCol w:w="5665"/>
        <w:gridCol w:w="1276"/>
        <w:gridCol w:w="1309"/>
        <w:gridCol w:w="1384"/>
      </w:tblGrid>
      <w:tr w:rsidR="00E97051" w:rsidTr="00E97051">
        <w:trPr>
          <w:trHeight w:val="315"/>
        </w:trPr>
        <w:tc>
          <w:tcPr>
            <w:tcW w:w="5665" w:type="dxa"/>
            <w:vMerge w:val="restart"/>
            <w:tcBorders>
              <w:top w:val="dotted" w:sz="8" w:space="0" w:color="auto"/>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rPr>
                <w:rFonts w:ascii="Cambria" w:hAnsi="Cambria"/>
                <w:b/>
                <w:bCs/>
                <w:color w:val="000000"/>
              </w:rPr>
            </w:pPr>
            <w:r>
              <w:rPr>
                <w:rFonts w:ascii="Cambria" w:hAnsi="Cambria"/>
                <w:b/>
                <w:bCs/>
                <w:color w:val="000000"/>
              </w:rPr>
              <w:t>Index</w:t>
            </w:r>
          </w:p>
        </w:tc>
        <w:tc>
          <w:tcPr>
            <w:tcW w:w="1276" w:type="dxa"/>
            <w:vMerge w:val="restar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b/>
                <w:bCs/>
                <w:color w:val="000000"/>
              </w:rPr>
            </w:pPr>
            <w:r>
              <w:rPr>
                <w:rFonts w:ascii="Cambria" w:hAnsi="Cambria"/>
                <w:b/>
                <w:bCs/>
                <w:color w:val="000000"/>
              </w:rPr>
              <w:t>Valeur</w:t>
            </w:r>
          </w:p>
        </w:tc>
        <w:tc>
          <w:tcPr>
            <w:tcW w:w="2693" w:type="dxa"/>
            <w:gridSpan w:val="2"/>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b/>
                <w:bCs/>
                <w:color w:val="000000"/>
              </w:rPr>
            </w:pPr>
            <w:r>
              <w:rPr>
                <w:rFonts w:ascii="Cambria" w:hAnsi="Cambria"/>
                <w:b/>
                <w:bCs/>
                <w:color w:val="000000"/>
              </w:rPr>
              <w:t>Variations en %</w:t>
            </w:r>
          </w:p>
        </w:tc>
      </w:tr>
      <w:tr w:rsidR="00E97051" w:rsidTr="00E97051">
        <w:trPr>
          <w:trHeight w:val="315"/>
        </w:trPr>
        <w:tc>
          <w:tcPr>
            <w:tcW w:w="0" w:type="auto"/>
            <w:vMerge/>
            <w:tcBorders>
              <w:top w:val="dotted" w:sz="8" w:space="0" w:color="auto"/>
              <w:left w:val="dotted" w:sz="8" w:space="0" w:color="auto"/>
              <w:bottom w:val="dotted" w:sz="8" w:space="0" w:color="auto"/>
              <w:right w:val="dotted" w:sz="8" w:space="0" w:color="auto"/>
            </w:tcBorders>
            <w:vAlign w:val="center"/>
            <w:hideMark/>
          </w:tcPr>
          <w:p w:rsidR="00E97051" w:rsidRDefault="00E97051">
            <w:pPr>
              <w:rPr>
                <w:rFonts w:ascii="Cambria" w:eastAsiaTheme="minorHAnsi" w:hAnsi="Cambria"/>
                <w:b/>
                <w:bCs/>
                <w:color w:val="000000"/>
              </w:rPr>
            </w:pPr>
          </w:p>
        </w:tc>
        <w:tc>
          <w:tcPr>
            <w:tcW w:w="0" w:type="auto"/>
            <w:vMerge/>
            <w:tcBorders>
              <w:top w:val="dotted" w:sz="8" w:space="0" w:color="auto"/>
              <w:left w:val="nil"/>
              <w:bottom w:val="dotted" w:sz="8" w:space="0" w:color="auto"/>
              <w:right w:val="dotted" w:sz="8" w:space="0" w:color="auto"/>
            </w:tcBorders>
            <w:vAlign w:val="center"/>
            <w:hideMark/>
          </w:tcPr>
          <w:p w:rsidR="00E97051" w:rsidRDefault="00E97051">
            <w:pPr>
              <w:rPr>
                <w:rFonts w:ascii="Cambria" w:eastAsiaTheme="minorHAnsi" w:hAnsi="Cambria"/>
                <w:b/>
                <w:bCs/>
                <w:color w:val="000000"/>
              </w:rPr>
            </w:pP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b/>
                <w:bCs/>
                <w:color w:val="000000"/>
              </w:rPr>
            </w:pPr>
            <w:r>
              <w:rPr>
                <w:rFonts w:ascii="Cambria" w:hAnsi="Cambria"/>
                <w:b/>
                <w:bCs/>
                <w:color w:val="000000"/>
              </w:rPr>
              <w:t>Mensuelle</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E97051" w:rsidRDefault="00E97051">
            <w:pPr>
              <w:jc w:val="center"/>
              <w:rPr>
                <w:rFonts w:ascii="Cambria" w:hAnsi="Cambria"/>
                <w:b/>
                <w:bCs/>
                <w:color w:val="000000"/>
              </w:rPr>
            </w:pPr>
            <w:r>
              <w:rPr>
                <w:rFonts w:ascii="Cambria" w:hAnsi="Cambria"/>
                <w:b/>
                <w:bCs/>
                <w:color w:val="000000"/>
              </w:rPr>
              <w:t>Sur 12 mois</w:t>
            </w:r>
          </w:p>
        </w:tc>
      </w:tr>
      <w:tr w:rsidR="00E97051" w:rsidTr="00E9705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rPr>
                <w:rFonts w:ascii="Cambria" w:hAnsi="Cambria"/>
                <w:color w:val="000000"/>
              </w:rPr>
            </w:pPr>
            <w:r>
              <w:rPr>
                <w:rFonts w:ascii="Cambria" w:hAnsi="Cambria"/>
                <w:color w:val="000000"/>
              </w:rPr>
              <w:t>Gardiennage</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115,71</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0,8</w:t>
            </w:r>
          </w:p>
        </w:tc>
      </w:tr>
      <w:tr w:rsidR="00E97051" w:rsidTr="00E9705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rPr>
                <w:rFonts w:ascii="Cambria" w:hAnsi="Cambria"/>
                <w:color w:val="000000"/>
              </w:rPr>
            </w:pPr>
            <w:r>
              <w:rPr>
                <w:rFonts w:ascii="Cambria" w:hAnsi="Cambria"/>
                <w:color w:val="000000"/>
              </w:rPr>
              <w:t>Sûreté</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110,86</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0,8</w:t>
            </w:r>
          </w:p>
        </w:tc>
      </w:tr>
      <w:tr w:rsidR="00E97051" w:rsidTr="00E9705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rPr>
                <w:rFonts w:ascii="Cambria" w:hAnsi="Cambria"/>
                <w:color w:val="000000"/>
              </w:rPr>
            </w:pPr>
            <w:r>
              <w:rPr>
                <w:rFonts w:ascii="Cambria" w:hAnsi="Cambria"/>
                <w:color w:val="000000"/>
              </w:rPr>
              <w:t>Véhicules Légers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111,35</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-0,1</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-0,2</w:t>
            </w:r>
          </w:p>
        </w:tc>
      </w:tr>
      <w:tr w:rsidR="00E97051" w:rsidTr="00E9705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rPr>
                <w:rFonts w:ascii="Cambria" w:hAnsi="Cambria"/>
                <w:color w:val="000000"/>
              </w:rPr>
            </w:pPr>
            <w:r>
              <w:rPr>
                <w:rFonts w:ascii="Cambria" w:hAnsi="Cambria"/>
                <w:color w:val="000000"/>
              </w:rPr>
              <w:t>Véhicules de Chantier</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105,24</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-0,1</w:t>
            </w:r>
          </w:p>
        </w:tc>
      </w:tr>
      <w:tr w:rsidR="00E97051" w:rsidTr="00E9705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rPr>
                <w:rFonts w:ascii="Cambria" w:hAnsi="Cambria"/>
                <w:color w:val="000000"/>
              </w:rPr>
            </w:pPr>
            <w:r>
              <w:rPr>
                <w:rFonts w:ascii="Cambria" w:hAnsi="Cambria"/>
                <w:color w:val="000000"/>
              </w:rPr>
              <w:t>Construction navale en aluminium</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121,77</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-3,1</w:t>
            </w:r>
          </w:p>
        </w:tc>
      </w:tr>
      <w:tr w:rsidR="00E97051" w:rsidTr="00E9705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rPr>
                <w:rFonts w:ascii="Cambria" w:hAnsi="Cambria"/>
                <w:color w:val="000000"/>
              </w:rPr>
            </w:pPr>
            <w:r>
              <w:rPr>
                <w:rFonts w:ascii="Cambria" w:hAnsi="Cambria"/>
                <w:color w:val="000000"/>
              </w:rPr>
              <w:t>Fourniture de pièces détachées pour navires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110,06</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w:t>
            </w:r>
          </w:p>
        </w:tc>
      </w:tr>
      <w:tr w:rsidR="00E97051" w:rsidTr="00E9705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rPr>
                <w:rFonts w:ascii="Cambria" w:hAnsi="Cambria"/>
                <w:color w:val="000000"/>
              </w:rPr>
            </w:pPr>
            <w:r>
              <w:rPr>
                <w:rFonts w:ascii="Cambria" w:hAnsi="Cambria"/>
                <w:color w:val="000000"/>
              </w:rPr>
              <w:t>Index des Transports Publics Terrestres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105,34</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-1,4</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-2,8</w:t>
            </w:r>
          </w:p>
        </w:tc>
      </w:tr>
      <w:tr w:rsidR="00E97051" w:rsidTr="00E9705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rPr>
                <w:rFonts w:ascii="Cambria" w:hAnsi="Cambria"/>
                <w:color w:val="000000"/>
              </w:rPr>
            </w:pPr>
            <w:r>
              <w:rPr>
                <w:rFonts w:ascii="Cambria" w:hAnsi="Cambria"/>
                <w:color w:val="000000"/>
              </w:rPr>
              <w:t>Index des Assurances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102,91</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-2,1</w:t>
            </w:r>
          </w:p>
        </w:tc>
      </w:tr>
      <w:tr w:rsidR="00E97051" w:rsidTr="00E97051">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rPr>
                <w:rFonts w:ascii="Cambria" w:hAnsi="Cambria"/>
                <w:color w:val="000000"/>
              </w:rPr>
            </w:pPr>
            <w:r>
              <w:rPr>
                <w:rFonts w:ascii="Cambria" w:hAnsi="Cambria"/>
                <w:color w:val="000000"/>
              </w:rPr>
              <w:t>Index du Transport Aérien International</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94,24</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0,1</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E97051" w:rsidRDefault="00E97051">
            <w:pPr>
              <w:jc w:val="center"/>
              <w:rPr>
                <w:rFonts w:ascii="Cambria" w:hAnsi="Cambria"/>
                <w:color w:val="000000"/>
              </w:rPr>
            </w:pPr>
            <w:r>
              <w:rPr>
                <w:rFonts w:ascii="Cambria" w:hAnsi="Cambria"/>
                <w:color w:val="000000"/>
              </w:rPr>
              <w:t>-2,2</w:t>
            </w:r>
          </w:p>
        </w:tc>
      </w:tr>
    </w:tbl>
    <w:p w:rsidR="00BE6C5B" w:rsidRDefault="00BE6C5B" w:rsidP="00D46250">
      <w:pPr>
        <w:pStyle w:val="-LettreObjetGEDA"/>
        <w:tabs>
          <w:tab w:val="left" w:pos="709"/>
        </w:tabs>
        <w:ind w:left="0" w:firstLine="0"/>
        <w:rPr>
          <w:rFonts w:ascii="Cambria" w:hAnsi="Cambria"/>
          <w:b/>
          <w:noProof w:val="0"/>
        </w:rPr>
      </w:pPr>
    </w:p>
    <w:p w:rsidR="00D46250" w:rsidRPr="001C1396" w:rsidRDefault="00D46250" w:rsidP="00D46250">
      <w:pPr>
        <w:pStyle w:val="-LettreObjetGEDA"/>
        <w:tabs>
          <w:tab w:val="left" w:pos="709"/>
        </w:tabs>
        <w:ind w:left="0" w:firstLine="0"/>
        <w:rPr>
          <w:rFonts w:ascii="Cambria" w:hAnsi="Cambria"/>
          <w:b/>
          <w:noProof w:val="0"/>
        </w:rPr>
      </w:pPr>
      <w:r w:rsidRPr="001C1396">
        <w:rPr>
          <w:rFonts w:ascii="Cambria" w:hAnsi="Cambria"/>
          <w:b/>
          <w:noProof w:val="0"/>
        </w:rPr>
        <w:t xml:space="preserve">Bilan du village du </w:t>
      </w:r>
      <w:proofErr w:type="spellStart"/>
      <w:r w:rsidRPr="001C1396">
        <w:rPr>
          <w:rFonts w:ascii="Cambria" w:hAnsi="Cambria"/>
          <w:b/>
          <w:noProof w:val="0"/>
        </w:rPr>
        <w:t>Tiurai</w:t>
      </w:r>
      <w:proofErr w:type="spellEnd"/>
      <w:r w:rsidRPr="001C1396">
        <w:rPr>
          <w:rFonts w:ascii="Cambria" w:hAnsi="Cambria"/>
          <w:b/>
          <w:noProof w:val="0"/>
        </w:rPr>
        <w:t xml:space="preserve"> 2020</w:t>
      </w:r>
    </w:p>
    <w:p w:rsidR="00D46250" w:rsidRPr="001C1396" w:rsidRDefault="00D46250" w:rsidP="00D46250">
      <w:pPr>
        <w:pStyle w:val="-LettreTexteespacGEDA"/>
        <w:ind w:firstLine="0"/>
        <w:rPr>
          <w:rFonts w:ascii="Cambria" w:hAnsi="Cambria"/>
        </w:rPr>
      </w:pPr>
      <w:r w:rsidRPr="001C1396">
        <w:rPr>
          <w:rFonts w:ascii="Cambria" w:hAnsi="Cambria"/>
        </w:rPr>
        <w:lastRenderedPageBreak/>
        <w:t>Dans le cadre de la politique de relance économique du secteur de l’artisanat traditionnel, le Service de l’artisanat traditionnel, en partenariat avec l’établissement Te Fare Tauhiti Nui – Maison de la Culture, a organisé le Village du Tiurai dans les jardins de la Mai</w:t>
      </w:r>
      <w:r w:rsidR="001C1396" w:rsidRPr="001C1396">
        <w:rPr>
          <w:rFonts w:ascii="Cambria" w:hAnsi="Cambria"/>
        </w:rPr>
        <w:t xml:space="preserve">son de la Culture, du mercredi </w:t>
      </w:r>
      <w:r w:rsidRPr="001C1396">
        <w:rPr>
          <w:rFonts w:ascii="Cambria" w:hAnsi="Cambria"/>
        </w:rPr>
        <w:t xml:space="preserve">8 </w:t>
      </w:r>
      <w:r w:rsidR="001C1396" w:rsidRPr="001C1396">
        <w:rPr>
          <w:rFonts w:ascii="Cambria" w:hAnsi="Cambria"/>
        </w:rPr>
        <w:t>au samedi 18 juillet derniers.</w:t>
      </w:r>
    </w:p>
    <w:p w:rsidR="00D46250" w:rsidRPr="001C1396" w:rsidRDefault="00D46250" w:rsidP="001C1396">
      <w:pPr>
        <w:pStyle w:val="-LettreTexteGEDA"/>
        <w:ind w:firstLine="0"/>
        <w:rPr>
          <w:rFonts w:ascii="Cambria" w:hAnsi="Cambria"/>
        </w:rPr>
      </w:pPr>
      <w:r w:rsidRPr="001C1396">
        <w:rPr>
          <w:rFonts w:ascii="Cambria" w:hAnsi="Cambria"/>
        </w:rPr>
        <w:t>En cette période bien particulière liée à la crise sanitaire, il était important de faire vivre les festivités du H</w:t>
      </w:r>
      <w:r w:rsidR="001C1396" w:rsidRPr="001C1396">
        <w:rPr>
          <w:rFonts w:ascii="Cambria" w:hAnsi="Cambria"/>
        </w:rPr>
        <w:t>eiva</w:t>
      </w:r>
      <w:r w:rsidRPr="001C1396">
        <w:rPr>
          <w:rFonts w:ascii="Cambria" w:hAnsi="Cambria"/>
        </w:rPr>
        <w:t xml:space="preserve"> en donnant une certaine visibilité aux différents acteurs de l’artisanat traditionnel</w:t>
      </w:r>
      <w:r w:rsidR="001C1396" w:rsidRPr="001C1396">
        <w:rPr>
          <w:rFonts w:ascii="Cambria" w:hAnsi="Cambria"/>
        </w:rPr>
        <w:t>,</w:t>
      </w:r>
      <w:r w:rsidRPr="001C1396">
        <w:rPr>
          <w:rFonts w:ascii="Cambria" w:hAnsi="Cambria"/>
        </w:rPr>
        <w:t xml:space="preserve"> suite à l’annulation du Heiva </w:t>
      </w:r>
      <w:r w:rsidR="001C1396" w:rsidRPr="001C1396">
        <w:rPr>
          <w:rFonts w:ascii="Cambria" w:hAnsi="Cambria"/>
        </w:rPr>
        <w:t>R</w:t>
      </w:r>
      <w:r w:rsidRPr="001C1396">
        <w:rPr>
          <w:rFonts w:ascii="Cambria" w:hAnsi="Cambria"/>
        </w:rPr>
        <w:t>ima’ī</w:t>
      </w:r>
      <w:r w:rsidR="001C1396" w:rsidRPr="001C1396">
        <w:rPr>
          <w:rFonts w:ascii="Cambria" w:hAnsi="Cambria"/>
        </w:rPr>
        <w:t>,</w:t>
      </w:r>
      <w:r w:rsidRPr="001C1396">
        <w:rPr>
          <w:rFonts w:ascii="Cambria" w:hAnsi="Cambria"/>
        </w:rPr>
        <w:t xml:space="preserve"> par la création d’un </w:t>
      </w:r>
      <w:r w:rsidR="001C1396" w:rsidRPr="001C1396">
        <w:rPr>
          <w:rFonts w:ascii="Cambria" w:hAnsi="Cambria"/>
        </w:rPr>
        <w:t xml:space="preserve">évènement inédit permettant la </w:t>
      </w:r>
      <w:r w:rsidRPr="001C1396">
        <w:rPr>
          <w:rFonts w:ascii="Cambria" w:hAnsi="Cambria"/>
        </w:rPr>
        <w:t>relance économique de ce secteur.</w:t>
      </w:r>
    </w:p>
    <w:p w:rsidR="00D46250" w:rsidRPr="001C1396" w:rsidRDefault="001C1396" w:rsidP="001C1396">
      <w:pPr>
        <w:pStyle w:val="-LettreTexteGEDA"/>
        <w:ind w:firstLine="0"/>
        <w:rPr>
          <w:rFonts w:ascii="Cambria" w:hAnsi="Cambria"/>
        </w:rPr>
      </w:pPr>
      <w:r w:rsidRPr="001C1396">
        <w:rPr>
          <w:rFonts w:ascii="Cambria" w:hAnsi="Cambria"/>
        </w:rPr>
        <w:t xml:space="preserve">Ce </w:t>
      </w:r>
      <w:r w:rsidR="00D46250" w:rsidRPr="001C1396">
        <w:rPr>
          <w:rFonts w:ascii="Cambria" w:hAnsi="Cambria"/>
        </w:rPr>
        <w:t xml:space="preserve">sont donc pas moins de 32 artisans qui se sont relayés durant ces huit jours de festivités afin de mettre en avant la créativité et le savoir-faire des artisans traditionnels </w:t>
      </w:r>
      <w:r w:rsidRPr="001C1396">
        <w:rPr>
          <w:rFonts w:ascii="Cambria" w:hAnsi="Cambria"/>
        </w:rPr>
        <w:t xml:space="preserve">lesquels étaient </w:t>
      </w:r>
      <w:r w:rsidR="00D46250" w:rsidRPr="001C1396">
        <w:rPr>
          <w:rFonts w:ascii="Cambria" w:hAnsi="Cambria"/>
        </w:rPr>
        <w:t>identifiés par univers : le tifaifai et la couture, la sculpture et la gravure, la bijouterie traditionnelle, la vannerie et – période du Tiurai oblige – les costumes et accessoires de danses.</w:t>
      </w:r>
    </w:p>
    <w:p w:rsidR="00D46250" w:rsidRPr="001C1396" w:rsidRDefault="00D46250" w:rsidP="001C1396">
      <w:pPr>
        <w:pStyle w:val="-LettreTexteGEDA"/>
        <w:ind w:firstLine="0"/>
        <w:rPr>
          <w:rFonts w:ascii="Cambria" w:hAnsi="Cambria"/>
        </w:rPr>
      </w:pPr>
      <w:r w:rsidRPr="001C1396">
        <w:rPr>
          <w:rFonts w:ascii="Cambria" w:hAnsi="Cambria"/>
        </w:rPr>
        <w:t>A cette occasion, chaque univers a fait l’objet, 3 fois par jour, d’ateliers d’initiation à la création artisanale, permettant au public de s’essayer aux activités du secteur de l’artisanat traditionnel. Ces ateliers payant – à hauteur de 1000 F</w:t>
      </w:r>
      <w:r w:rsidR="001C1396" w:rsidRPr="001C1396">
        <w:rPr>
          <w:rFonts w:ascii="Cambria" w:hAnsi="Cambria"/>
        </w:rPr>
        <w:t>cfp</w:t>
      </w:r>
      <w:r w:rsidRPr="001C1396">
        <w:rPr>
          <w:rFonts w:ascii="Cambria" w:hAnsi="Cambria"/>
        </w:rPr>
        <w:t xml:space="preserve"> pour la sculpture et 500 F</w:t>
      </w:r>
      <w:r w:rsidR="001C1396" w:rsidRPr="001C1396">
        <w:rPr>
          <w:rFonts w:ascii="Cambria" w:hAnsi="Cambria"/>
        </w:rPr>
        <w:t>cfp</w:t>
      </w:r>
      <w:r w:rsidRPr="001C1396">
        <w:rPr>
          <w:rFonts w:ascii="Cambria" w:hAnsi="Cambria"/>
        </w:rPr>
        <w:t xml:space="preserve"> pour les autres thématiques – ont favorisé une dynamique d’échange et de partage entre les artisans et le public, tant sur le savoir-faire des artisans que sur les réalités économiques du secteur de l’artisanat traditionnel, justifiant ainsi le tarif des produits auprès des consommateurs devant la difficulté de leurs réalisations.</w:t>
      </w:r>
    </w:p>
    <w:p w:rsidR="00D46250" w:rsidRPr="001C1396" w:rsidRDefault="00D46250" w:rsidP="001C1396">
      <w:pPr>
        <w:pStyle w:val="-LettreTexteGEDA"/>
        <w:ind w:firstLine="0"/>
        <w:rPr>
          <w:rFonts w:ascii="Cambria" w:hAnsi="Cambria"/>
        </w:rPr>
      </w:pPr>
      <w:r w:rsidRPr="001C1396">
        <w:rPr>
          <w:rFonts w:ascii="Cambria" w:hAnsi="Cambria"/>
        </w:rPr>
        <w:t xml:space="preserve">De plus, un ensemble de démonstrations de fabrication des produits artisanaux </w:t>
      </w:r>
      <w:r w:rsidR="001C1396" w:rsidRPr="001C1396">
        <w:rPr>
          <w:rFonts w:ascii="Cambria" w:hAnsi="Cambria"/>
        </w:rPr>
        <w:t>a été</w:t>
      </w:r>
      <w:r w:rsidRPr="001C1396">
        <w:rPr>
          <w:rFonts w:ascii="Cambria" w:hAnsi="Cambria"/>
        </w:rPr>
        <w:t xml:space="preserve"> proposé sur le Paepae a Hiro ainsi qu’une initiation au </w:t>
      </w:r>
      <w:r w:rsidRPr="001C1396">
        <w:rPr>
          <w:rFonts w:ascii="Cambria" w:hAnsi="Cambria"/>
          <w:i/>
        </w:rPr>
        <w:t>Ori Tahiti</w:t>
      </w:r>
      <w:r w:rsidRPr="001C1396">
        <w:rPr>
          <w:rFonts w:ascii="Cambria" w:hAnsi="Cambria"/>
        </w:rPr>
        <w:t xml:space="preserve">, un </w:t>
      </w:r>
      <w:r w:rsidRPr="001C1396">
        <w:rPr>
          <w:rFonts w:ascii="Cambria" w:hAnsi="Cambria"/>
          <w:i/>
        </w:rPr>
        <w:t>Tamure</w:t>
      </w:r>
      <w:r w:rsidRPr="001C1396">
        <w:rPr>
          <w:rFonts w:ascii="Cambria" w:hAnsi="Cambria"/>
        </w:rPr>
        <w:t xml:space="preserve"> marathon et un défilé de mode mettant en valeur les produits artisanaux locaux.</w:t>
      </w:r>
      <w:r w:rsidR="001C1396" w:rsidRPr="001C1396">
        <w:rPr>
          <w:rFonts w:ascii="Cambria" w:hAnsi="Cambria"/>
        </w:rPr>
        <w:t xml:space="preserve"> </w:t>
      </w:r>
      <w:r w:rsidRPr="001C1396">
        <w:rPr>
          <w:rFonts w:ascii="Cambria" w:hAnsi="Cambria"/>
        </w:rPr>
        <w:t>Cette manifestation</w:t>
      </w:r>
      <w:r w:rsidR="001C1396" w:rsidRPr="001C1396">
        <w:rPr>
          <w:rFonts w:ascii="Cambria" w:hAnsi="Cambria"/>
        </w:rPr>
        <w:t xml:space="preserve"> originale</w:t>
      </w:r>
      <w:r w:rsidRPr="001C1396">
        <w:rPr>
          <w:rFonts w:ascii="Cambria" w:hAnsi="Cambria"/>
        </w:rPr>
        <w:t>, par l’organisation d’ateliers d’initiation payants et d’animations festives autres qu’artisanales</w:t>
      </w:r>
      <w:r w:rsidR="001C1396" w:rsidRPr="001C1396">
        <w:rPr>
          <w:rFonts w:ascii="Cambria" w:hAnsi="Cambria"/>
        </w:rPr>
        <w:t>,</w:t>
      </w:r>
      <w:r w:rsidRPr="001C1396">
        <w:rPr>
          <w:rFonts w:ascii="Cambria" w:hAnsi="Cambria"/>
        </w:rPr>
        <w:t xml:space="preserve"> s’incrit dans un esprit de revalorisation et de dynamisation du secteur de l’artisanat traditionnel.</w:t>
      </w:r>
    </w:p>
    <w:p w:rsidR="00D46250" w:rsidRPr="001C1396" w:rsidRDefault="00D46250" w:rsidP="001C1396">
      <w:pPr>
        <w:pStyle w:val="-LettreTexteGEDA"/>
        <w:ind w:firstLine="0"/>
        <w:rPr>
          <w:rFonts w:ascii="Cambria" w:hAnsi="Cambria"/>
        </w:rPr>
      </w:pPr>
      <w:r w:rsidRPr="001C1396">
        <w:rPr>
          <w:rFonts w:ascii="Cambria" w:hAnsi="Cambria"/>
        </w:rPr>
        <w:t xml:space="preserve">Cette manifestation inédite a </w:t>
      </w:r>
      <w:r w:rsidR="001C1396" w:rsidRPr="001C1396">
        <w:rPr>
          <w:rFonts w:ascii="Cambria" w:hAnsi="Cambria"/>
        </w:rPr>
        <w:t xml:space="preserve">ainsi </w:t>
      </w:r>
      <w:r w:rsidRPr="001C1396">
        <w:rPr>
          <w:rFonts w:ascii="Cambria" w:hAnsi="Cambria"/>
        </w:rPr>
        <w:t>permis aux artisans de générer un chiffre d’affaires de 4 474 550 F</w:t>
      </w:r>
      <w:r w:rsidR="001C1396" w:rsidRPr="001C1396">
        <w:rPr>
          <w:rFonts w:ascii="Cambria" w:hAnsi="Cambria"/>
        </w:rPr>
        <w:t>cfp, et ce</w:t>
      </w:r>
      <w:r w:rsidRPr="001C1396">
        <w:rPr>
          <w:rFonts w:ascii="Cambria" w:hAnsi="Cambria"/>
        </w:rPr>
        <w:t xml:space="preserve"> pour un montant total d’investissement de 1 970 038 F</w:t>
      </w:r>
      <w:r w:rsidR="001C1396" w:rsidRPr="001C1396">
        <w:rPr>
          <w:rFonts w:ascii="Cambria" w:hAnsi="Cambria"/>
        </w:rPr>
        <w:t>cfp</w:t>
      </w:r>
      <w:r w:rsidRPr="001C1396">
        <w:rPr>
          <w:rFonts w:ascii="Cambria" w:hAnsi="Cambria"/>
        </w:rPr>
        <w:t xml:space="preserve"> comprenant la mise en place et l’organisation du Village du Tiurai et la location des containers auprès de la Maison de la Culture.</w:t>
      </w:r>
    </w:p>
    <w:p w:rsidR="00D46250" w:rsidRPr="003E14F8" w:rsidRDefault="00D46250" w:rsidP="003E14F8">
      <w:pPr>
        <w:spacing w:after="120"/>
        <w:jc w:val="both"/>
        <w:rPr>
          <w:rFonts w:asciiTheme="majorHAnsi" w:hAnsiTheme="majorHAnsi"/>
        </w:rPr>
      </w:pPr>
    </w:p>
    <w:p w:rsidR="003C5FFF" w:rsidRDefault="003C5FFF" w:rsidP="00EF2FA8">
      <w:pPr>
        <w:pStyle w:val="-LettreSuiteORefPJGEDA"/>
        <w:ind w:left="0"/>
        <w:rPr>
          <w:rFonts w:ascii="Cambria" w:hAnsi="Cambria"/>
        </w:rPr>
      </w:pPr>
    </w:p>
    <w:p w:rsidR="00D46250" w:rsidRPr="001C1396" w:rsidRDefault="00D46250" w:rsidP="00EF2FA8">
      <w:pPr>
        <w:pStyle w:val="-LettreSuiteORefPJGEDA"/>
        <w:ind w:left="0"/>
        <w:rPr>
          <w:rFonts w:ascii="Cambria" w:hAnsi="Cambria"/>
          <w:b/>
        </w:rPr>
      </w:pPr>
      <w:r w:rsidRPr="001C1396">
        <w:rPr>
          <w:rFonts w:ascii="Cambria" w:hAnsi="Cambria"/>
          <w:b/>
        </w:rPr>
        <w:t>Campagne « Je suis ma famille, je suis mon Pays »</w:t>
      </w:r>
    </w:p>
    <w:p w:rsidR="00D46250" w:rsidRPr="001C1396" w:rsidRDefault="00D46250" w:rsidP="00EF2FA8">
      <w:pPr>
        <w:pStyle w:val="-LettreSuiteORefPJGEDA"/>
        <w:ind w:left="0"/>
        <w:rPr>
          <w:rFonts w:ascii="Cambria" w:hAnsi="Cambria"/>
        </w:rPr>
      </w:pPr>
    </w:p>
    <w:p w:rsidR="00D46250" w:rsidRPr="001C1396" w:rsidRDefault="00D46250" w:rsidP="001C1396">
      <w:pPr>
        <w:pStyle w:val="-LettreTexteGEDA"/>
        <w:ind w:firstLine="0"/>
        <w:rPr>
          <w:rFonts w:ascii="Cambria" w:hAnsi="Cambria"/>
        </w:rPr>
      </w:pPr>
      <w:r w:rsidRPr="001C1396">
        <w:rPr>
          <w:rFonts w:ascii="Cambria" w:hAnsi="Cambria"/>
          <w:szCs w:val="24"/>
        </w:rPr>
        <w:t xml:space="preserve">Le </w:t>
      </w:r>
      <w:r w:rsidR="001C1396" w:rsidRPr="001C1396">
        <w:rPr>
          <w:rFonts w:ascii="Cambria" w:hAnsi="Cambria"/>
          <w:szCs w:val="24"/>
        </w:rPr>
        <w:t>m</w:t>
      </w:r>
      <w:r w:rsidRPr="001C1396">
        <w:rPr>
          <w:rFonts w:ascii="Cambria" w:hAnsi="Cambria"/>
          <w:szCs w:val="24"/>
        </w:rPr>
        <w:t xml:space="preserve">inistère de la </w:t>
      </w:r>
      <w:r w:rsidR="001C1396" w:rsidRPr="001C1396">
        <w:rPr>
          <w:rFonts w:ascii="Cambria" w:hAnsi="Cambria"/>
          <w:szCs w:val="24"/>
        </w:rPr>
        <w:t>F</w:t>
      </w:r>
      <w:r w:rsidRPr="001C1396">
        <w:rPr>
          <w:rFonts w:ascii="Cambria" w:hAnsi="Cambria"/>
          <w:szCs w:val="24"/>
        </w:rPr>
        <w:t xml:space="preserve">amille et des solidarités, en charge de l’égalité des chances, </w:t>
      </w:r>
      <w:r w:rsidRPr="001C1396">
        <w:rPr>
          <w:rFonts w:ascii="Cambria" w:hAnsi="Cambria"/>
        </w:rPr>
        <w:t xml:space="preserve">avec le concours de la DSFE, a initié une campagne de communication intitulée « Je suis ma famille, je suis mon Pays » en février 2020. </w:t>
      </w:r>
      <w:r w:rsidR="001C1396" w:rsidRPr="001C1396">
        <w:rPr>
          <w:rFonts w:ascii="Cambria" w:hAnsi="Cambria"/>
        </w:rPr>
        <w:t>et ce dans la perspective d’une évolution harmonieuse de la population et, plus particulièrement au sein des familles.</w:t>
      </w:r>
    </w:p>
    <w:p w:rsidR="00D46250" w:rsidRPr="001C1396" w:rsidRDefault="00D46250" w:rsidP="001C1396">
      <w:pPr>
        <w:spacing w:before="240" w:after="240"/>
        <w:jc w:val="both"/>
        <w:rPr>
          <w:rFonts w:ascii="Cambria" w:hAnsi="Cambria"/>
        </w:rPr>
      </w:pPr>
      <w:r w:rsidRPr="001C1396">
        <w:rPr>
          <w:rFonts w:ascii="Cambria" w:hAnsi="Cambria"/>
        </w:rPr>
        <w:t xml:space="preserve">Le ministère a souhaité relancer cette campagne de communication complétée par une version en langue tahitienne. Elle sera diffusée à la fois sur TNTV et Polynésie Première (avant les journaux télévisés du soir) ainsi que sur les pages Facebook de la DSFE et celles du </w:t>
      </w:r>
      <w:r w:rsidR="001C1396" w:rsidRPr="001C1396">
        <w:rPr>
          <w:rFonts w:ascii="Cambria" w:hAnsi="Cambria"/>
        </w:rPr>
        <w:t>m</w:t>
      </w:r>
      <w:r w:rsidRPr="001C1396">
        <w:rPr>
          <w:rFonts w:ascii="Cambria" w:hAnsi="Cambria"/>
        </w:rPr>
        <w:t>inistère « </w:t>
      </w:r>
      <w:proofErr w:type="spellStart"/>
      <w:r w:rsidRPr="001C1396">
        <w:rPr>
          <w:rFonts w:ascii="Cambria" w:hAnsi="Cambria"/>
        </w:rPr>
        <w:t>Nuna'a</w:t>
      </w:r>
      <w:proofErr w:type="spellEnd"/>
      <w:r w:rsidRPr="001C1396">
        <w:rPr>
          <w:rFonts w:ascii="Cambria" w:hAnsi="Cambria"/>
        </w:rPr>
        <w:t xml:space="preserve"> </w:t>
      </w:r>
      <w:proofErr w:type="spellStart"/>
      <w:r w:rsidRPr="001C1396">
        <w:rPr>
          <w:rFonts w:ascii="Cambria" w:hAnsi="Cambria"/>
        </w:rPr>
        <w:t>Ma'ohi</w:t>
      </w:r>
      <w:proofErr w:type="spellEnd"/>
      <w:r w:rsidRPr="001C1396">
        <w:rPr>
          <w:rFonts w:ascii="Cambria" w:hAnsi="Cambria"/>
        </w:rPr>
        <w:t xml:space="preserve"> ’</w:t>
      </w:r>
      <w:proofErr w:type="spellStart"/>
      <w:r w:rsidRPr="001C1396">
        <w:rPr>
          <w:rFonts w:ascii="Cambria" w:hAnsi="Cambria"/>
        </w:rPr>
        <w:t>Aihau</w:t>
      </w:r>
      <w:proofErr w:type="spellEnd"/>
      <w:r w:rsidRPr="001C1396">
        <w:rPr>
          <w:rFonts w:ascii="Cambria" w:hAnsi="Cambria"/>
        </w:rPr>
        <w:t>, Polynésiens artisans de Paix » et «</w:t>
      </w:r>
      <w:r w:rsidR="001C1396" w:rsidRPr="001C1396">
        <w:rPr>
          <w:rFonts w:ascii="Cambria" w:hAnsi="Cambria"/>
        </w:rPr>
        <w:t xml:space="preserve"> </w:t>
      </w:r>
      <w:r w:rsidRPr="001C1396">
        <w:rPr>
          <w:rFonts w:ascii="Cambria" w:hAnsi="Cambria"/>
        </w:rPr>
        <w:t>Isabelle Sachet, Ministre de la Famille et des Solidarités ».</w:t>
      </w:r>
    </w:p>
    <w:p w:rsidR="000F2A73" w:rsidRDefault="00D46250" w:rsidP="001C1396">
      <w:pPr>
        <w:spacing w:before="240" w:after="240"/>
        <w:jc w:val="both"/>
        <w:rPr>
          <w:rFonts w:ascii="Cambria" w:hAnsi="Cambria"/>
        </w:rPr>
      </w:pPr>
      <w:r w:rsidRPr="001C1396">
        <w:rPr>
          <w:rFonts w:ascii="Cambria" w:hAnsi="Cambria"/>
        </w:rPr>
        <w:lastRenderedPageBreak/>
        <w:t xml:space="preserve">Cette opération s’inscrit dans le cadre du plan pour la paix initié par le </w:t>
      </w:r>
      <w:r w:rsidR="001C1396" w:rsidRPr="001C1396">
        <w:rPr>
          <w:rFonts w:ascii="Cambria" w:hAnsi="Cambria"/>
        </w:rPr>
        <w:t>m</w:t>
      </w:r>
      <w:r w:rsidRPr="001C1396">
        <w:rPr>
          <w:rFonts w:ascii="Cambria" w:hAnsi="Cambria"/>
        </w:rPr>
        <w:t xml:space="preserve">inistère. Elle  vise à promouvoir une culture de non-violence et de solidarité, ainsi qu’un soutien à la parentalité par le biais de messages contenant des valeurs positives et bienveillantes, à l’attention des </w:t>
      </w:r>
      <w:proofErr w:type="spellStart"/>
      <w:r w:rsidRPr="001C1396">
        <w:rPr>
          <w:rFonts w:ascii="Cambria" w:hAnsi="Cambria"/>
        </w:rPr>
        <w:t>Matahiapo</w:t>
      </w:r>
      <w:proofErr w:type="spellEnd"/>
      <w:r w:rsidRPr="001C1396">
        <w:rPr>
          <w:rFonts w:ascii="Cambria" w:hAnsi="Cambria"/>
        </w:rPr>
        <w:t>, des personnes porteuses de handicap, des enfants, adolescents, et des familles.</w:t>
      </w:r>
    </w:p>
    <w:p w:rsidR="00BE6C5B" w:rsidRDefault="00BE6C5B" w:rsidP="00BE6C5B">
      <w:pPr>
        <w:rPr>
          <w:sz w:val="22"/>
          <w:szCs w:val="22"/>
          <w:lang w:eastAsia="fr-FR"/>
        </w:rPr>
      </w:pPr>
    </w:p>
    <w:p w:rsidR="00BE6C5B" w:rsidRDefault="00BE6C5B" w:rsidP="00BE6C5B">
      <w:r>
        <w:rPr>
          <w:rFonts w:ascii="Cambria" w:hAnsi="Cambria"/>
          <w:b/>
          <w:bCs/>
        </w:rPr>
        <w:t xml:space="preserve">Lutte contre la propagation de la </w:t>
      </w:r>
      <w:proofErr w:type="spellStart"/>
      <w:r>
        <w:rPr>
          <w:rFonts w:ascii="Cambria" w:hAnsi="Cambria"/>
          <w:b/>
          <w:bCs/>
        </w:rPr>
        <w:t>covid</w:t>
      </w:r>
      <w:proofErr w:type="spellEnd"/>
      <w:r>
        <w:rPr>
          <w:rFonts w:ascii="Cambria" w:hAnsi="Cambria"/>
          <w:b/>
          <w:bCs/>
        </w:rPr>
        <w:t> : arrêté modificatif sur la réglementation pour le port du masque</w:t>
      </w:r>
    </w:p>
    <w:p w:rsidR="00BE6C5B" w:rsidRDefault="00BE6C5B" w:rsidP="00BE6C5B">
      <w:r>
        <w:rPr>
          <w:rFonts w:ascii="Cambria" w:hAnsi="Cambria"/>
        </w:rPr>
        <w:t> </w:t>
      </w:r>
    </w:p>
    <w:p w:rsidR="00BE6C5B" w:rsidRDefault="00BE6C5B" w:rsidP="008E3565">
      <w:pPr>
        <w:pStyle w:val="-lettretextegeda0"/>
        <w:jc w:val="both"/>
      </w:pPr>
      <w:bookmarkStart w:id="0" w:name="_GoBack"/>
      <w:r>
        <w:rPr>
          <w:rFonts w:ascii="Cambria" w:hAnsi="Cambria"/>
        </w:rPr>
        <w:t xml:space="preserve">L’arrêté du Conseil des ministres du 16 juillet dernier prévoit la mise en œuvre de mesures de prévention à la propagation du coronavirus. Parmi ces mesures figurent la distanciation physique d’un mètre à respecter en toute circonstance et l’obligation du port du masque dans les moyens de transport en commun et dans les lieux d’attente destinés à ces transports. </w:t>
      </w:r>
    </w:p>
    <w:p w:rsidR="00BE6C5B" w:rsidRDefault="00BE6C5B" w:rsidP="008E3565">
      <w:pPr>
        <w:pStyle w:val="-lettretextegeda0"/>
        <w:jc w:val="both"/>
      </w:pPr>
      <w:r>
        <w:rPr>
          <w:rFonts w:ascii="Cambria" w:hAnsi="Cambria"/>
        </w:rPr>
        <w:t>Un arrêté modificatif a été adopté. Il vise à ajouter aux mesures précédentes l’obligation du port du masque également dans tous les lieux clos et établissements recevant du public et lors des rassemblements sur la voie publique ou dans un lieu ouvert au public, ainsi que l’obligation pour les responsables d’établissement de prendre les mesures nécessaires à la protection sanitaire des clients ou usagers.</w:t>
      </w:r>
    </w:p>
    <w:p w:rsidR="00BE6C5B" w:rsidRDefault="00BE6C5B" w:rsidP="008E3565">
      <w:pPr>
        <w:pStyle w:val="-lettretextegeda0"/>
        <w:jc w:val="both"/>
      </w:pPr>
      <w:r>
        <w:rPr>
          <w:rFonts w:ascii="Cambria" w:hAnsi="Cambria"/>
        </w:rPr>
        <w:t xml:space="preserve">Le port du masque est également rendu obligatoire lorsque les circonstances physiques ne permettent pas une distanciation suffisante entre un professionnel et un usager. </w:t>
      </w:r>
    </w:p>
    <w:p w:rsidR="00BE6C5B" w:rsidRDefault="00BE6C5B" w:rsidP="008E3565">
      <w:pPr>
        <w:pStyle w:val="-lettretextegeda0"/>
        <w:jc w:val="both"/>
      </w:pPr>
      <w:r>
        <w:rPr>
          <w:rFonts w:ascii="Cambria" w:hAnsi="Cambria"/>
        </w:rPr>
        <w:t xml:space="preserve">Des sanctions pénales sont prévues en cas de non-respect des obligations. </w:t>
      </w:r>
    </w:p>
    <w:bookmarkEnd w:id="0"/>
    <w:p w:rsidR="00BE6C5B" w:rsidRDefault="00BE6C5B" w:rsidP="00BE6C5B">
      <w:r>
        <w:t> </w:t>
      </w:r>
    </w:p>
    <w:p w:rsidR="000F2A73" w:rsidRPr="00BE6C5B" w:rsidRDefault="00BE6C5B" w:rsidP="00BE6C5B">
      <w:pPr>
        <w:jc w:val="both"/>
      </w:pPr>
      <w:r>
        <w:rPr>
          <w:rFonts w:ascii="Cambria" w:hAnsi="Cambria"/>
          <w:b/>
          <w:bCs/>
        </w:rPr>
        <w:t xml:space="preserve">Lutte contre la propagation de la </w:t>
      </w:r>
      <w:proofErr w:type="spellStart"/>
      <w:r>
        <w:rPr>
          <w:rFonts w:ascii="Cambria" w:hAnsi="Cambria"/>
          <w:b/>
          <w:bCs/>
        </w:rPr>
        <w:t>covid</w:t>
      </w:r>
      <w:proofErr w:type="spellEnd"/>
      <w:r>
        <w:rPr>
          <w:rFonts w:ascii="Cambria" w:hAnsi="Cambria"/>
          <w:b/>
          <w:bCs/>
        </w:rPr>
        <w:t> : r</w:t>
      </w:r>
      <w:r w:rsidR="000F2A73">
        <w:rPr>
          <w:rFonts w:ascii="Cambria" w:hAnsi="Cambria"/>
          <w:b/>
          <w:bCs/>
        </w:rPr>
        <w:t>ecommandations avant des déplacements dans les îles</w:t>
      </w:r>
    </w:p>
    <w:p w:rsidR="000F2A73" w:rsidRDefault="000F2A73" w:rsidP="000F2A73">
      <w:pPr>
        <w:rPr>
          <w:rFonts w:ascii="Cambria" w:hAnsi="Cambria"/>
        </w:rPr>
      </w:pPr>
    </w:p>
    <w:p w:rsidR="000F2A73" w:rsidRDefault="000F2A73" w:rsidP="000F2A73">
      <w:pPr>
        <w:pStyle w:val="-LettreObjetGEDA"/>
        <w:ind w:left="0" w:firstLine="0"/>
        <w:rPr>
          <w:rFonts w:ascii="Cambria" w:hAnsi="Cambria"/>
        </w:rPr>
      </w:pPr>
      <w:r>
        <w:rPr>
          <w:rFonts w:ascii="Cambria" w:hAnsi="Cambria"/>
        </w:rPr>
        <w:t>Depuis le début de la pandémie du covid-19 en Polynésie française, le gouvernement fait en sorte de protéger les îles en prenant des mesures strictes portant notamment sur l’interdiction de circulation inter-archipels et inter-îles. C’est à ce prix que, à l’exception de Tahiti et Moorea, les autres îles de la Polynésie française ont été jusqu’à présent épargnées : il a fallu simplement procéder à l’extraction de deux personnes, de deux îles différentes, sur toute la période précédente, toujours dans un souci de non propagation de l’épidémie, et avec un coût financier et humain important.</w:t>
      </w:r>
    </w:p>
    <w:p w:rsidR="000F2A73" w:rsidRDefault="000F2A73" w:rsidP="000F2A73">
      <w:pPr>
        <w:spacing w:before="120"/>
        <w:jc w:val="both"/>
        <w:rPr>
          <w:rFonts w:ascii="Cambria" w:hAnsi="Cambria"/>
        </w:rPr>
      </w:pPr>
      <w:r>
        <w:rPr>
          <w:rFonts w:ascii="Cambria" w:hAnsi="Cambria"/>
        </w:rPr>
        <w:t xml:space="preserve">Afin de sécuriser complètement les archipels de l’introduction du covid-19, les personnes </w:t>
      </w:r>
      <w:proofErr w:type="gramStart"/>
      <w:r>
        <w:rPr>
          <w:rFonts w:ascii="Cambria" w:hAnsi="Cambria"/>
        </w:rPr>
        <w:t>recrutées</w:t>
      </w:r>
      <w:proofErr w:type="gramEnd"/>
      <w:r>
        <w:rPr>
          <w:rFonts w:ascii="Cambria" w:hAnsi="Cambria"/>
        </w:rPr>
        <w:t xml:space="preserve"> pour exercer en Polynésie française, arrivant de l’international, ou résidentes de retour de voyage, devront désormais avoir fait leur autotest à J+4 et être certaines de ne pas être positives avant de rejoindre leur poste dans leur île d’affectation ou de résidence. Pour ce faire, il faudra s'assurer que ces personnes aient fait leur autotest à la date indiquée et qu’un délai de 48h après le dépôt de l'autotest à l’Institut Louis </w:t>
      </w:r>
      <w:proofErr w:type="spellStart"/>
      <w:r>
        <w:rPr>
          <w:rFonts w:ascii="Cambria" w:hAnsi="Cambria"/>
        </w:rPr>
        <w:t>Malardé</w:t>
      </w:r>
      <w:proofErr w:type="spellEnd"/>
      <w:r>
        <w:rPr>
          <w:rFonts w:ascii="Cambria" w:hAnsi="Cambria"/>
        </w:rPr>
        <w:t xml:space="preserve"> (puisque seuls les résultats positifs sont rendus) soit respecté avant leur départ.</w:t>
      </w:r>
    </w:p>
    <w:p w:rsidR="000F2A73" w:rsidRDefault="000F2A73" w:rsidP="000F2A73">
      <w:pPr>
        <w:spacing w:before="120"/>
        <w:jc w:val="both"/>
        <w:rPr>
          <w:rFonts w:ascii="Cambria" w:hAnsi="Cambria"/>
          <w:strike/>
        </w:rPr>
      </w:pPr>
      <w:r>
        <w:rPr>
          <w:rFonts w:ascii="Cambria" w:hAnsi="Cambria"/>
        </w:rPr>
        <w:lastRenderedPageBreak/>
        <w:t>Il est également indispensable, qu’à leur arrivée en Polynésie française, ces personnes appliquent le plus strictement possible les mesures barrières : distanciation physique et port du masque, le résultat négatif au test RT-PCR fait avant l’embarquement n’étant pas une assurance absolue de ne pas être porteur de virus ou de développer la maladie ultérieurement.</w:t>
      </w:r>
      <w:r>
        <w:rPr>
          <w:rFonts w:ascii="Cambria" w:hAnsi="Cambria"/>
          <w:strike/>
        </w:rPr>
        <w:t xml:space="preserve"> </w:t>
      </w:r>
      <w:r>
        <w:rPr>
          <w:rFonts w:ascii="Cambria" w:hAnsi="Cambria"/>
        </w:rPr>
        <w:t>Le ministère de la Santé a donné instruction à ses services d’organiser les départs de leurs agents rentrant de voyage à l’international, ou de ceux nouvellement affectés dans les îles, dans le strict respect de ces consignes. Il en va de même pour tout résident rentrant de voyage et qui devra respecter ces mêmes mesures.</w:t>
      </w:r>
    </w:p>
    <w:p w:rsidR="000F2A73" w:rsidRPr="000F2A73" w:rsidRDefault="000F2A73" w:rsidP="000F2A73">
      <w:pPr>
        <w:spacing w:before="120"/>
        <w:jc w:val="both"/>
        <w:rPr>
          <w:rFonts w:ascii="Cambria" w:hAnsi="Cambria"/>
          <w:strike/>
        </w:rPr>
      </w:pPr>
    </w:p>
    <w:p w:rsidR="001C1396" w:rsidRPr="001C1396" w:rsidRDefault="001C1396" w:rsidP="00D46250">
      <w:pPr>
        <w:pStyle w:val="-LettreSuiteORefPJGEDA"/>
        <w:ind w:left="0"/>
        <w:rPr>
          <w:b/>
          <w:noProof w:val="0"/>
          <w:szCs w:val="24"/>
          <w:lang w:eastAsia="es-ES"/>
        </w:rPr>
      </w:pPr>
    </w:p>
    <w:p w:rsidR="00D46250" w:rsidRPr="001C1396" w:rsidRDefault="00D46250" w:rsidP="00D46250">
      <w:pPr>
        <w:pStyle w:val="-LettreSuiteORefPJGEDA"/>
        <w:ind w:left="0"/>
        <w:rPr>
          <w:rFonts w:ascii="Cambria" w:hAnsi="Cambria"/>
          <w:b/>
          <w:noProof w:val="0"/>
        </w:rPr>
      </w:pPr>
      <w:r w:rsidRPr="001C1396">
        <w:rPr>
          <w:rFonts w:ascii="Cambria" w:hAnsi="Cambria"/>
          <w:b/>
          <w:noProof w:val="0"/>
        </w:rPr>
        <w:t>Participation des écoles et établissements à la promotion du patrimoine culturel</w:t>
      </w:r>
    </w:p>
    <w:p w:rsidR="00D46250" w:rsidRPr="001C1396" w:rsidRDefault="00D46250" w:rsidP="00D46250">
      <w:pPr>
        <w:pStyle w:val="-LettreSuiteORefPJGEDA"/>
        <w:ind w:left="0"/>
        <w:rPr>
          <w:rFonts w:ascii="Cambria" w:hAnsi="Cambria"/>
          <w:noProof w:val="0"/>
          <w:sz w:val="20"/>
          <w:highlight w:val="yellow"/>
        </w:rPr>
      </w:pPr>
    </w:p>
    <w:p w:rsidR="00D46250" w:rsidRPr="001C1396" w:rsidRDefault="00D46250" w:rsidP="001C1396">
      <w:pPr>
        <w:jc w:val="both"/>
        <w:rPr>
          <w:rFonts w:ascii="Cambria" w:hAnsi="Cambria"/>
        </w:rPr>
      </w:pPr>
      <w:r w:rsidRPr="001C1396">
        <w:rPr>
          <w:rFonts w:ascii="Cambria" w:hAnsi="Cambria"/>
        </w:rPr>
        <w:t xml:space="preserve">Chaque année, les écoles et établissements de l’enseignement public de la Polynésie française participe à divers concours ou événements organisés par la DGEE sous l’égide </w:t>
      </w:r>
      <w:r w:rsidR="001C1396">
        <w:rPr>
          <w:rFonts w:ascii="Cambria" w:hAnsi="Cambria"/>
        </w:rPr>
        <w:t>du</w:t>
      </w:r>
      <w:r w:rsidRPr="001C1396">
        <w:rPr>
          <w:rFonts w:ascii="Cambria" w:hAnsi="Cambria"/>
        </w:rPr>
        <w:t> ministère</w:t>
      </w:r>
      <w:r w:rsidR="001C1396">
        <w:rPr>
          <w:rFonts w:ascii="Cambria" w:hAnsi="Cambria"/>
        </w:rPr>
        <w:t xml:space="preserve"> de l’Education</w:t>
      </w:r>
      <w:r w:rsidRPr="001C1396">
        <w:rPr>
          <w:rFonts w:ascii="Cambria" w:hAnsi="Cambria"/>
        </w:rPr>
        <w:t xml:space="preserve">, en partenariat notamment avec le Vice-rectorat de Polynésie ou </w:t>
      </w:r>
      <w:r w:rsidR="001C1396">
        <w:rPr>
          <w:rFonts w:ascii="Cambria" w:hAnsi="Cambria"/>
        </w:rPr>
        <w:t>d’</w:t>
      </w:r>
      <w:r w:rsidRPr="001C1396">
        <w:rPr>
          <w:rFonts w:ascii="Cambria" w:hAnsi="Cambria"/>
        </w:rPr>
        <w:t xml:space="preserve">autres acteurs du système éducatif. </w:t>
      </w:r>
    </w:p>
    <w:p w:rsidR="00D46250" w:rsidRPr="001C1396" w:rsidRDefault="00D46250" w:rsidP="00D46250">
      <w:pPr>
        <w:ind w:firstLine="709"/>
        <w:jc w:val="both"/>
        <w:rPr>
          <w:rFonts w:ascii="Cambria" w:hAnsi="Cambria"/>
          <w:sz w:val="20"/>
        </w:rPr>
      </w:pPr>
    </w:p>
    <w:p w:rsidR="00D46250" w:rsidRPr="001C1396" w:rsidRDefault="00D46250" w:rsidP="001C1396">
      <w:pPr>
        <w:jc w:val="both"/>
        <w:rPr>
          <w:rFonts w:ascii="Cambria" w:hAnsi="Cambria"/>
        </w:rPr>
      </w:pPr>
      <w:r w:rsidRPr="001C1396">
        <w:rPr>
          <w:rFonts w:ascii="Cambria" w:hAnsi="Cambria"/>
        </w:rPr>
        <w:t xml:space="preserve">A l’issue de ces actions, vecteurs d’apprentissages qui permettent de développer des compétences chez </w:t>
      </w:r>
      <w:r w:rsidR="001C1396">
        <w:rPr>
          <w:rFonts w:ascii="Cambria" w:hAnsi="Cambria"/>
        </w:rPr>
        <w:t>les</w:t>
      </w:r>
      <w:r w:rsidRPr="001C1396">
        <w:rPr>
          <w:rFonts w:ascii="Cambria" w:hAnsi="Cambria"/>
        </w:rPr>
        <w:t xml:space="preserve"> élèves, de nombreuses productions sont créées et diffusées à destination des écoles et des familles. Ainsi, des clips, des affiches ou autres supports visuels sont réalisés en vue de promouvoir un événement ou une action. </w:t>
      </w:r>
    </w:p>
    <w:p w:rsidR="00D46250" w:rsidRPr="001C1396" w:rsidRDefault="00D46250" w:rsidP="00D46250">
      <w:pPr>
        <w:ind w:firstLine="709"/>
        <w:jc w:val="both"/>
        <w:rPr>
          <w:rFonts w:ascii="Cambria" w:hAnsi="Cambria"/>
          <w:sz w:val="20"/>
        </w:rPr>
      </w:pPr>
    </w:p>
    <w:p w:rsidR="00D46250" w:rsidRPr="001C1396" w:rsidRDefault="00D46250" w:rsidP="001C1396">
      <w:pPr>
        <w:jc w:val="both"/>
        <w:rPr>
          <w:rFonts w:ascii="Cambria" w:hAnsi="Cambria"/>
        </w:rPr>
      </w:pPr>
      <w:r w:rsidRPr="001C1396">
        <w:rPr>
          <w:rFonts w:ascii="Cambria" w:hAnsi="Cambria"/>
        </w:rPr>
        <w:t>Durant l’année scolaire 2019-2020, un concours scolaire de photographie de type « </w:t>
      </w:r>
      <w:proofErr w:type="spellStart"/>
      <w:r w:rsidRPr="001C1396">
        <w:rPr>
          <w:rFonts w:ascii="Cambria" w:hAnsi="Cambria"/>
        </w:rPr>
        <w:t>selfie</w:t>
      </w:r>
      <w:proofErr w:type="spellEnd"/>
      <w:r w:rsidRPr="001C1396">
        <w:rPr>
          <w:rFonts w:ascii="Cambria" w:hAnsi="Cambria"/>
        </w:rPr>
        <w:t xml:space="preserve"> » intitulé « Mon Fenua dans l’objectif », a </w:t>
      </w:r>
      <w:r w:rsidR="001C1396">
        <w:rPr>
          <w:rFonts w:ascii="Cambria" w:hAnsi="Cambria"/>
        </w:rPr>
        <w:t xml:space="preserve">ainsi </w:t>
      </w:r>
      <w:r w:rsidRPr="001C1396">
        <w:rPr>
          <w:rFonts w:ascii="Cambria" w:hAnsi="Cambria"/>
        </w:rPr>
        <w:t>été organisé en partenariat avec l’association « Les Amis du Liban-Tahiti ». Cette opération a mis en exergue le regard que porte la jeunesse sur notre territoire et la diversité des productions attestent de la créativité des plus jeunes engagés dans les actions qui valorisent la Polynésie française.</w:t>
      </w:r>
    </w:p>
    <w:p w:rsidR="00D46250" w:rsidRPr="001C1396" w:rsidRDefault="00D46250" w:rsidP="00D46250">
      <w:pPr>
        <w:ind w:firstLine="709"/>
        <w:jc w:val="both"/>
        <w:rPr>
          <w:rFonts w:ascii="Cambria" w:hAnsi="Cambria"/>
          <w:sz w:val="20"/>
        </w:rPr>
      </w:pPr>
    </w:p>
    <w:p w:rsidR="00D46250" w:rsidRPr="001C1396" w:rsidRDefault="00D46250" w:rsidP="001C1396">
      <w:pPr>
        <w:jc w:val="both"/>
        <w:rPr>
          <w:rFonts w:ascii="Cambria" w:hAnsi="Cambria"/>
        </w:rPr>
      </w:pPr>
      <w:r w:rsidRPr="001C1396">
        <w:rPr>
          <w:rFonts w:ascii="Cambria" w:hAnsi="Cambria"/>
        </w:rPr>
        <w:t xml:space="preserve">Au terme de cette opération, </w:t>
      </w:r>
      <w:r w:rsidR="001C1396">
        <w:rPr>
          <w:rFonts w:ascii="Cambria" w:hAnsi="Cambria"/>
        </w:rPr>
        <w:t>ces productions</w:t>
      </w:r>
      <w:r w:rsidRPr="001C1396">
        <w:rPr>
          <w:rFonts w:ascii="Cambria" w:hAnsi="Cambria"/>
        </w:rPr>
        <w:t xml:space="preserve"> constituent un patrimoine iconographique scolaire qui peut contribuer à la valorisation et à la promotion des actions liées au tourisme et</w:t>
      </w:r>
      <w:r w:rsidR="001C1396">
        <w:rPr>
          <w:rFonts w:ascii="Cambria" w:hAnsi="Cambria"/>
        </w:rPr>
        <w:t>,</w:t>
      </w:r>
      <w:r w:rsidRPr="001C1396">
        <w:rPr>
          <w:rFonts w:ascii="Cambria" w:hAnsi="Cambria"/>
        </w:rPr>
        <w:t xml:space="preserve"> en général, à la préservation de notre patrimoine culturel. Il est donc important de mettre en évidence les productions de </w:t>
      </w:r>
      <w:r w:rsidR="001C1396">
        <w:rPr>
          <w:rFonts w:ascii="Cambria" w:hAnsi="Cambria"/>
        </w:rPr>
        <w:t>ces élèves en vue de leur </w:t>
      </w:r>
      <w:r w:rsidRPr="001C1396">
        <w:rPr>
          <w:rFonts w:ascii="Cambria" w:hAnsi="Cambria"/>
        </w:rPr>
        <w:t xml:space="preserve">montrer </w:t>
      </w:r>
      <w:r w:rsidR="001C1396">
        <w:rPr>
          <w:rFonts w:ascii="Cambria" w:hAnsi="Cambria"/>
        </w:rPr>
        <w:t xml:space="preserve">aussi </w:t>
      </w:r>
      <w:r w:rsidRPr="001C1396">
        <w:rPr>
          <w:rFonts w:ascii="Cambria" w:hAnsi="Cambria"/>
        </w:rPr>
        <w:t xml:space="preserve">que leur engagement dans ce type d’opération participe au développement des atouts que </w:t>
      </w:r>
      <w:r w:rsidR="001C1396">
        <w:rPr>
          <w:rFonts w:ascii="Cambria" w:hAnsi="Cambria"/>
        </w:rPr>
        <w:t>possède la Polynésie.</w:t>
      </w:r>
      <w:r w:rsidRPr="001C1396">
        <w:rPr>
          <w:rFonts w:ascii="Cambria" w:hAnsi="Cambria"/>
        </w:rPr>
        <w:t xml:space="preserve"> </w:t>
      </w:r>
    </w:p>
    <w:p w:rsidR="00D46250" w:rsidRPr="001C1396" w:rsidRDefault="00D46250" w:rsidP="00D46250">
      <w:pPr>
        <w:ind w:firstLine="709"/>
        <w:jc w:val="both"/>
        <w:rPr>
          <w:rFonts w:ascii="Cambria" w:hAnsi="Cambria"/>
          <w:sz w:val="20"/>
        </w:rPr>
      </w:pPr>
    </w:p>
    <w:p w:rsidR="00D46250" w:rsidRPr="001C1396" w:rsidRDefault="00D46250" w:rsidP="00D46250">
      <w:pPr>
        <w:ind w:firstLine="709"/>
        <w:jc w:val="both"/>
        <w:rPr>
          <w:rFonts w:ascii="Cambria" w:hAnsi="Cambria"/>
        </w:rPr>
      </w:pPr>
    </w:p>
    <w:p w:rsidR="00D46250" w:rsidRPr="00E428BA" w:rsidRDefault="00D46250" w:rsidP="001C1396">
      <w:pPr>
        <w:jc w:val="both"/>
        <w:rPr>
          <w:rFonts w:ascii="Cambria" w:hAnsi="Cambria"/>
          <w:b/>
        </w:rPr>
      </w:pPr>
      <w:r w:rsidRPr="00E428BA">
        <w:rPr>
          <w:rFonts w:ascii="Cambria" w:hAnsi="Cambria"/>
          <w:b/>
        </w:rPr>
        <w:t>Subvention d’investissement en faveur de la Direction Diocésaine de l’Enseignement Catholique pour les travaux du collège-lycée An</w:t>
      </w:r>
      <w:r w:rsidR="001C1396" w:rsidRPr="00E428BA">
        <w:rPr>
          <w:rFonts w:ascii="Cambria" w:hAnsi="Cambria"/>
          <w:b/>
        </w:rPr>
        <w:t xml:space="preserve">ne Marie </w:t>
      </w:r>
      <w:proofErr w:type="spellStart"/>
      <w:r w:rsidR="001C1396" w:rsidRPr="00E428BA">
        <w:rPr>
          <w:rFonts w:ascii="Cambria" w:hAnsi="Cambria"/>
          <w:b/>
        </w:rPr>
        <w:t>Javouhey</w:t>
      </w:r>
      <w:proofErr w:type="spellEnd"/>
      <w:r w:rsidR="001C1396" w:rsidRPr="00E428BA">
        <w:rPr>
          <w:rFonts w:ascii="Cambria" w:hAnsi="Cambria"/>
          <w:b/>
        </w:rPr>
        <w:t xml:space="preserve"> d’</w:t>
      </w:r>
      <w:proofErr w:type="spellStart"/>
      <w:r w:rsidR="001C1396" w:rsidRPr="00E428BA">
        <w:rPr>
          <w:rFonts w:ascii="Cambria" w:hAnsi="Cambria"/>
          <w:b/>
        </w:rPr>
        <w:t>Uturoa</w:t>
      </w:r>
      <w:proofErr w:type="spellEnd"/>
    </w:p>
    <w:p w:rsidR="00D46250" w:rsidRPr="00E428BA" w:rsidRDefault="00D46250" w:rsidP="00D46250">
      <w:pPr>
        <w:ind w:firstLine="709"/>
        <w:jc w:val="both"/>
        <w:rPr>
          <w:rFonts w:ascii="Cambria" w:hAnsi="Cambria"/>
        </w:rPr>
      </w:pPr>
    </w:p>
    <w:p w:rsidR="00D46250" w:rsidRPr="00E428BA" w:rsidRDefault="001C1396" w:rsidP="001C1396">
      <w:pPr>
        <w:pStyle w:val="-LettreTexteGEDA"/>
        <w:ind w:firstLine="0"/>
        <w:rPr>
          <w:rFonts w:ascii="Cambria" w:hAnsi="Cambria"/>
          <w:noProof w:val="0"/>
        </w:rPr>
      </w:pPr>
      <w:r w:rsidRPr="00E428BA">
        <w:rPr>
          <w:rFonts w:ascii="Cambria" w:hAnsi="Cambria"/>
          <w:noProof w:val="0"/>
        </w:rPr>
        <w:t>L</w:t>
      </w:r>
      <w:r w:rsidR="00D46250" w:rsidRPr="00E428BA">
        <w:rPr>
          <w:rFonts w:ascii="Cambria" w:hAnsi="Cambria"/>
          <w:noProof w:val="0"/>
        </w:rPr>
        <w:t xml:space="preserve">a Direction Diocésaine de l’Enseignement Catholique (DDEC) a sollicité l’attribution d’une subvention d’investissement d’un montant de 150 </w:t>
      </w:r>
      <w:r w:rsidR="00E428BA">
        <w:rPr>
          <w:rFonts w:ascii="Cambria" w:hAnsi="Cambria"/>
          <w:noProof w:val="0"/>
        </w:rPr>
        <w:t>millions</w:t>
      </w:r>
      <w:r w:rsidR="00D46250" w:rsidRPr="00E428BA">
        <w:rPr>
          <w:rFonts w:ascii="Cambria" w:hAnsi="Cambria"/>
          <w:noProof w:val="0"/>
        </w:rPr>
        <w:t xml:space="preserve"> </w:t>
      </w:r>
      <w:proofErr w:type="spellStart"/>
      <w:r w:rsidR="00D46250" w:rsidRPr="00E428BA">
        <w:rPr>
          <w:rFonts w:ascii="Cambria" w:hAnsi="Cambria"/>
          <w:noProof w:val="0"/>
        </w:rPr>
        <w:t>F</w:t>
      </w:r>
      <w:r w:rsidRPr="00E428BA">
        <w:rPr>
          <w:rFonts w:ascii="Cambria" w:hAnsi="Cambria"/>
          <w:noProof w:val="0"/>
        </w:rPr>
        <w:t>cfp</w:t>
      </w:r>
      <w:proofErr w:type="spellEnd"/>
      <w:r w:rsidR="00D46250" w:rsidRPr="00E428BA">
        <w:rPr>
          <w:rFonts w:ascii="Cambria" w:hAnsi="Cambria"/>
          <w:noProof w:val="0"/>
        </w:rPr>
        <w:t xml:space="preserve"> TTC (Cent cinquante millions de francs pacifiques Toutes Taxes Comprises) pour le financement de travaux de mise en conformité, de rénovation et de valorisation du collège-lycée Anne Marie </w:t>
      </w:r>
      <w:proofErr w:type="spellStart"/>
      <w:r w:rsidR="00D46250" w:rsidRPr="00E428BA">
        <w:rPr>
          <w:rFonts w:ascii="Cambria" w:hAnsi="Cambria"/>
          <w:noProof w:val="0"/>
        </w:rPr>
        <w:t>Javouhey</w:t>
      </w:r>
      <w:proofErr w:type="spellEnd"/>
      <w:r w:rsidR="00D46250" w:rsidRPr="00E428BA">
        <w:rPr>
          <w:rFonts w:ascii="Cambria" w:hAnsi="Cambria"/>
          <w:noProof w:val="0"/>
        </w:rPr>
        <w:t xml:space="preserve"> d’</w:t>
      </w:r>
      <w:proofErr w:type="spellStart"/>
      <w:r w:rsidR="00D46250" w:rsidRPr="00E428BA">
        <w:rPr>
          <w:rFonts w:ascii="Cambria" w:hAnsi="Cambria"/>
          <w:noProof w:val="0"/>
        </w:rPr>
        <w:t>Uturoa</w:t>
      </w:r>
      <w:proofErr w:type="spellEnd"/>
      <w:r w:rsidR="00D46250" w:rsidRPr="00E428BA">
        <w:rPr>
          <w:rFonts w:ascii="Cambria" w:hAnsi="Cambria"/>
          <w:noProof w:val="0"/>
        </w:rPr>
        <w:t xml:space="preserve"> (AMJ).</w:t>
      </w:r>
    </w:p>
    <w:p w:rsidR="00D46250" w:rsidRPr="00E428BA" w:rsidRDefault="00D46250" w:rsidP="001C1396">
      <w:pPr>
        <w:pStyle w:val="-LettreTexteGEDA"/>
        <w:ind w:firstLine="0"/>
        <w:rPr>
          <w:rFonts w:ascii="Cambria" w:hAnsi="Cambria"/>
          <w:noProof w:val="0"/>
        </w:rPr>
      </w:pPr>
      <w:r w:rsidRPr="00E428BA">
        <w:rPr>
          <w:rFonts w:ascii="Cambria" w:hAnsi="Cambria"/>
          <w:noProof w:val="0"/>
        </w:rPr>
        <w:t xml:space="preserve">Le collège-lycée est un établissement du second degré sous tutelle </w:t>
      </w:r>
      <w:r w:rsidR="001C1396" w:rsidRPr="00E428BA">
        <w:rPr>
          <w:rFonts w:ascii="Cambria" w:hAnsi="Cambria"/>
          <w:noProof w:val="0"/>
        </w:rPr>
        <w:t xml:space="preserve">des sœurs de St Joseph de Cluny. </w:t>
      </w:r>
      <w:r w:rsidRPr="00E428BA">
        <w:rPr>
          <w:rFonts w:ascii="Cambria" w:hAnsi="Cambria"/>
          <w:noProof w:val="0"/>
        </w:rPr>
        <w:t>Il propose aux habitants des différentes communes de Raiatea une alternative éducative et pédagogique à l’enseignement dis</w:t>
      </w:r>
      <w:r w:rsidR="001C1396" w:rsidRPr="00E428BA">
        <w:rPr>
          <w:rFonts w:ascii="Cambria" w:hAnsi="Cambria"/>
          <w:noProof w:val="0"/>
        </w:rPr>
        <w:t xml:space="preserve">pensé dans les écoles publiques. </w:t>
      </w:r>
      <w:r w:rsidRPr="00E428BA">
        <w:rPr>
          <w:rFonts w:ascii="Cambria" w:hAnsi="Cambria"/>
          <w:noProof w:val="0"/>
        </w:rPr>
        <w:t xml:space="preserve">Il est </w:t>
      </w:r>
      <w:r w:rsidRPr="00E428BA">
        <w:rPr>
          <w:rFonts w:ascii="Cambria" w:hAnsi="Cambria"/>
          <w:noProof w:val="0"/>
        </w:rPr>
        <w:lastRenderedPageBreak/>
        <w:t>implanté da</w:t>
      </w:r>
      <w:r w:rsidR="001C1396" w:rsidRPr="00E428BA">
        <w:rPr>
          <w:rFonts w:ascii="Cambria" w:hAnsi="Cambria"/>
          <w:noProof w:val="0"/>
        </w:rPr>
        <w:t>ns le centre-ville d’</w:t>
      </w:r>
      <w:proofErr w:type="spellStart"/>
      <w:r w:rsidR="001C1396" w:rsidRPr="00E428BA">
        <w:rPr>
          <w:rFonts w:ascii="Cambria" w:hAnsi="Cambria"/>
          <w:noProof w:val="0"/>
        </w:rPr>
        <w:t>Uturoa</w:t>
      </w:r>
      <w:proofErr w:type="spellEnd"/>
      <w:r w:rsidR="001C1396" w:rsidRPr="00E428BA">
        <w:rPr>
          <w:rFonts w:ascii="Cambria" w:hAnsi="Cambria"/>
          <w:noProof w:val="0"/>
        </w:rPr>
        <w:t xml:space="preserve"> et </w:t>
      </w:r>
      <w:r w:rsidRPr="00E428BA">
        <w:rPr>
          <w:rFonts w:ascii="Cambria" w:hAnsi="Cambria"/>
          <w:noProof w:val="0"/>
        </w:rPr>
        <w:t>dispose de 12 classes de collège, 3 classes de lycée et 2 classes d’enseignement professionnel.</w:t>
      </w:r>
      <w:r w:rsidR="001C1396" w:rsidRPr="00E428BA">
        <w:rPr>
          <w:rFonts w:ascii="Cambria" w:hAnsi="Cambria"/>
          <w:noProof w:val="0"/>
        </w:rPr>
        <w:t xml:space="preserve"> </w:t>
      </w:r>
      <w:r w:rsidRPr="00E428BA">
        <w:rPr>
          <w:rFonts w:ascii="Cambria" w:hAnsi="Cambria"/>
        </w:rPr>
        <w:t>La Direction Diocésaine de l’Enseignement Catholique (DDEC), participe</w:t>
      </w:r>
      <w:r w:rsidR="001C1396" w:rsidRPr="00E428BA">
        <w:rPr>
          <w:rFonts w:ascii="Cambria" w:hAnsi="Cambria"/>
        </w:rPr>
        <w:t>,</w:t>
      </w:r>
      <w:r w:rsidRPr="00E428BA">
        <w:rPr>
          <w:rFonts w:ascii="Cambria" w:hAnsi="Cambria"/>
        </w:rPr>
        <w:t xml:space="preserve"> depuis sa création</w:t>
      </w:r>
      <w:r w:rsidR="001C1396" w:rsidRPr="00E428BA">
        <w:rPr>
          <w:rFonts w:ascii="Cambria" w:hAnsi="Cambria"/>
        </w:rPr>
        <w:t>,</w:t>
      </w:r>
      <w:r w:rsidRPr="00E428BA">
        <w:rPr>
          <w:rFonts w:ascii="Cambria" w:hAnsi="Cambria"/>
        </w:rPr>
        <w:t xml:space="preserve"> à la mission de service public d’éducation en contrat d’association avec l’Etat.</w:t>
      </w:r>
    </w:p>
    <w:p w:rsidR="00D46250" w:rsidRPr="00E428BA" w:rsidRDefault="00D46250" w:rsidP="00E428BA">
      <w:pPr>
        <w:pStyle w:val="-LettreTexteGEDA"/>
        <w:ind w:firstLine="0"/>
        <w:rPr>
          <w:rFonts w:ascii="Cambria" w:hAnsi="Cambria"/>
        </w:rPr>
      </w:pPr>
      <w:r w:rsidRPr="00E428BA">
        <w:rPr>
          <w:rFonts w:ascii="Cambria" w:hAnsi="Cambria"/>
        </w:rPr>
        <w:t>L’évolution des normes en matière d’établissement recevant du public conjugué au vieillissement</w:t>
      </w:r>
      <w:r w:rsidR="001C1396" w:rsidRPr="00E428BA">
        <w:rPr>
          <w:rFonts w:ascii="Cambria" w:hAnsi="Cambria"/>
        </w:rPr>
        <w:t xml:space="preserve"> des installations nécessitent </w:t>
      </w:r>
      <w:r w:rsidRPr="00E428BA">
        <w:rPr>
          <w:rFonts w:ascii="Cambria" w:hAnsi="Cambria"/>
        </w:rPr>
        <w:t xml:space="preserve">la mise à niveau des établissements de la DDEC. C’est pourquoi, afin de formaliser rapidement un plan pluriannuel d’investissements pour l’ensemble des établissements du premier degré, le Pays a attribué </w:t>
      </w:r>
      <w:r w:rsidR="001C1396" w:rsidRPr="00E428BA">
        <w:rPr>
          <w:rFonts w:ascii="Cambria" w:hAnsi="Cambria"/>
        </w:rPr>
        <w:t>en</w:t>
      </w:r>
      <w:r w:rsidRPr="00E428BA">
        <w:rPr>
          <w:rFonts w:ascii="Cambria" w:hAnsi="Cambria"/>
        </w:rPr>
        <w:t xml:space="preserve"> mars 2017 une subvention d’investissement en faveur de la DDEC pour financer les études de mise en conformité et de rénovation des établissements du second degré, des internats et des foyers d’hébergement. Ces études </w:t>
      </w:r>
      <w:r w:rsidR="001C1396" w:rsidRPr="00E428BA">
        <w:rPr>
          <w:rFonts w:ascii="Cambria" w:hAnsi="Cambria"/>
        </w:rPr>
        <w:t>ont été</w:t>
      </w:r>
      <w:r w:rsidRPr="00E428BA">
        <w:rPr>
          <w:rFonts w:ascii="Cambria" w:hAnsi="Cambria"/>
        </w:rPr>
        <w:t xml:space="preserve"> réalisées afin de programmer les premiers travaux de rénovation et de mise en conformité. Suite à cet audit, les travaux de rénovation du </w:t>
      </w:r>
      <w:r w:rsidRPr="00E428BA">
        <w:rPr>
          <w:rFonts w:ascii="Cambria" w:hAnsi="Cambria"/>
          <w:noProof w:val="0"/>
        </w:rPr>
        <w:t xml:space="preserve">collège-lycée Anne Marie </w:t>
      </w:r>
      <w:proofErr w:type="spellStart"/>
      <w:r w:rsidRPr="00E428BA">
        <w:rPr>
          <w:rFonts w:ascii="Cambria" w:hAnsi="Cambria"/>
          <w:noProof w:val="0"/>
        </w:rPr>
        <w:t>Javouhey</w:t>
      </w:r>
      <w:proofErr w:type="spellEnd"/>
      <w:r w:rsidRPr="00E428BA">
        <w:rPr>
          <w:rFonts w:ascii="Cambria" w:hAnsi="Cambria"/>
          <w:noProof w:val="0"/>
        </w:rPr>
        <w:t xml:space="preserve"> d’</w:t>
      </w:r>
      <w:proofErr w:type="spellStart"/>
      <w:r w:rsidRPr="00E428BA">
        <w:rPr>
          <w:rFonts w:ascii="Cambria" w:hAnsi="Cambria"/>
          <w:noProof w:val="0"/>
        </w:rPr>
        <w:t>Uturoa</w:t>
      </w:r>
      <w:proofErr w:type="spellEnd"/>
      <w:r w:rsidRPr="00E428BA">
        <w:rPr>
          <w:rFonts w:ascii="Cambria" w:hAnsi="Cambria"/>
          <w:noProof w:val="0"/>
        </w:rPr>
        <w:t xml:space="preserve"> </w:t>
      </w:r>
      <w:r w:rsidRPr="00E428BA">
        <w:rPr>
          <w:rFonts w:ascii="Cambria" w:hAnsi="Cambria"/>
        </w:rPr>
        <w:t>ont été estimés à 163 374 945 F</w:t>
      </w:r>
      <w:r w:rsidR="00E428BA" w:rsidRPr="00E428BA">
        <w:rPr>
          <w:rFonts w:ascii="Cambria" w:hAnsi="Cambria"/>
        </w:rPr>
        <w:t xml:space="preserve">cfp TTC. </w:t>
      </w:r>
      <w:r w:rsidRPr="00E428BA">
        <w:rPr>
          <w:rFonts w:ascii="Cambria" w:hAnsi="Cambria"/>
        </w:rPr>
        <w:t>La participation financière de la Polynésie française se décline de la manière suivante :</w:t>
      </w:r>
    </w:p>
    <w:p w:rsidR="00D46250" w:rsidRPr="00E428BA" w:rsidRDefault="00D46250" w:rsidP="00D46250">
      <w:pPr>
        <w:jc w:val="both"/>
        <w:rPr>
          <w:rFonts w:ascii="Cambria" w:hAnsi="Cambria"/>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534"/>
      </w:tblGrid>
      <w:tr w:rsidR="00D46250" w:rsidRPr="00E428BA" w:rsidTr="006A2954">
        <w:tc>
          <w:tcPr>
            <w:tcW w:w="4606" w:type="dxa"/>
          </w:tcPr>
          <w:p w:rsidR="00D46250" w:rsidRPr="00E428BA" w:rsidRDefault="00D46250" w:rsidP="006A2954">
            <w:pPr>
              <w:jc w:val="center"/>
              <w:rPr>
                <w:rFonts w:ascii="Cambria" w:hAnsi="Cambria"/>
                <w:b/>
              </w:rPr>
            </w:pPr>
            <w:r w:rsidRPr="00E428BA">
              <w:rPr>
                <w:rFonts w:ascii="Cambria" w:hAnsi="Cambria"/>
                <w:b/>
              </w:rPr>
              <w:t>Montant total de l’opération</w:t>
            </w:r>
          </w:p>
        </w:tc>
        <w:tc>
          <w:tcPr>
            <w:tcW w:w="4606" w:type="dxa"/>
          </w:tcPr>
          <w:p w:rsidR="00D46250" w:rsidRPr="00E428BA" w:rsidRDefault="00D46250" w:rsidP="006A2954">
            <w:pPr>
              <w:jc w:val="center"/>
              <w:rPr>
                <w:rFonts w:ascii="Cambria" w:hAnsi="Cambria"/>
                <w:b/>
              </w:rPr>
            </w:pPr>
            <w:r w:rsidRPr="00E428BA">
              <w:rPr>
                <w:rFonts w:ascii="Cambria" w:hAnsi="Cambria"/>
                <w:b/>
              </w:rPr>
              <w:t>Montant plafond de la subvention attribuée par le Pays</w:t>
            </w:r>
          </w:p>
        </w:tc>
      </w:tr>
      <w:tr w:rsidR="00D46250" w:rsidRPr="00E428BA" w:rsidTr="006A2954">
        <w:tc>
          <w:tcPr>
            <w:tcW w:w="4606" w:type="dxa"/>
          </w:tcPr>
          <w:p w:rsidR="00D46250" w:rsidRPr="00E428BA" w:rsidRDefault="00D46250" w:rsidP="006A2954">
            <w:pPr>
              <w:jc w:val="center"/>
              <w:rPr>
                <w:rFonts w:ascii="Cambria" w:hAnsi="Cambria"/>
              </w:rPr>
            </w:pPr>
            <w:r w:rsidRPr="00E428BA">
              <w:rPr>
                <w:rFonts w:ascii="Cambria" w:hAnsi="Cambria"/>
              </w:rPr>
              <w:t>144 579 597 HT</w:t>
            </w:r>
          </w:p>
        </w:tc>
        <w:tc>
          <w:tcPr>
            <w:tcW w:w="4606" w:type="dxa"/>
          </w:tcPr>
          <w:p w:rsidR="00D46250" w:rsidRPr="00E428BA" w:rsidRDefault="00D46250" w:rsidP="00E428BA">
            <w:pPr>
              <w:jc w:val="center"/>
              <w:rPr>
                <w:rFonts w:ascii="Cambria" w:hAnsi="Cambria"/>
                <w:b/>
              </w:rPr>
            </w:pPr>
            <w:r w:rsidRPr="00E428BA">
              <w:rPr>
                <w:rFonts w:ascii="Cambria" w:hAnsi="Cambria"/>
                <w:b/>
              </w:rPr>
              <w:t xml:space="preserve">150 000 000 </w:t>
            </w:r>
            <w:proofErr w:type="spellStart"/>
            <w:r w:rsidRPr="00E428BA">
              <w:rPr>
                <w:rFonts w:ascii="Cambria" w:hAnsi="Cambria"/>
                <w:b/>
              </w:rPr>
              <w:t>F</w:t>
            </w:r>
            <w:r w:rsidR="00E428BA" w:rsidRPr="00E428BA">
              <w:rPr>
                <w:rFonts w:ascii="Cambria" w:hAnsi="Cambria"/>
                <w:b/>
              </w:rPr>
              <w:t>cfp</w:t>
            </w:r>
            <w:proofErr w:type="spellEnd"/>
          </w:p>
        </w:tc>
      </w:tr>
      <w:tr w:rsidR="00D46250" w:rsidRPr="00E428BA" w:rsidTr="006A2954">
        <w:trPr>
          <w:trHeight w:val="351"/>
        </w:trPr>
        <w:tc>
          <w:tcPr>
            <w:tcW w:w="4606" w:type="dxa"/>
          </w:tcPr>
          <w:p w:rsidR="00D46250" w:rsidRPr="00E428BA" w:rsidRDefault="00D46250" w:rsidP="006A2954">
            <w:pPr>
              <w:jc w:val="center"/>
              <w:rPr>
                <w:rFonts w:ascii="Cambria" w:hAnsi="Cambria"/>
              </w:rPr>
            </w:pPr>
            <w:r w:rsidRPr="00E428BA">
              <w:rPr>
                <w:rFonts w:ascii="Cambria" w:hAnsi="Cambria"/>
              </w:rPr>
              <w:t>18 795 348 TVA</w:t>
            </w:r>
          </w:p>
        </w:tc>
        <w:tc>
          <w:tcPr>
            <w:tcW w:w="4606" w:type="dxa"/>
          </w:tcPr>
          <w:p w:rsidR="00D46250" w:rsidRPr="00E428BA" w:rsidRDefault="00D46250" w:rsidP="006A2954">
            <w:pPr>
              <w:jc w:val="center"/>
              <w:rPr>
                <w:rFonts w:ascii="Cambria" w:hAnsi="Cambria"/>
              </w:rPr>
            </w:pPr>
            <w:r w:rsidRPr="00E428BA">
              <w:rPr>
                <w:rFonts w:ascii="Cambria" w:hAnsi="Cambria"/>
              </w:rPr>
              <w:t>Taux de participation</w:t>
            </w:r>
            <w:r w:rsidR="00E428BA" w:rsidRPr="00E428BA">
              <w:rPr>
                <w:rFonts w:ascii="Cambria" w:hAnsi="Cambria"/>
              </w:rPr>
              <w:t> : 91</w:t>
            </w:r>
            <w:r w:rsidRPr="00E428BA">
              <w:rPr>
                <w:rFonts w:ascii="Cambria" w:hAnsi="Cambria"/>
              </w:rPr>
              <w:t xml:space="preserve"> %</w:t>
            </w:r>
          </w:p>
        </w:tc>
      </w:tr>
      <w:tr w:rsidR="00D46250" w:rsidRPr="00E428BA" w:rsidTr="006A2954">
        <w:trPr>
          <w:trHeight w:val="359"/>
        </w:trPr>
        <w:tc>
          <w:tcPr>
            <w:tcW w:w="4606" w:type="dxa"/>
          </w:tcPr>
          <w:p w:rsidR="00D46250" w:rsidRPr="00E428BA" w:rsidRDefault="00D46250" w:rsidP="00E428BA">
            <w:pPr>
              <w:jc w:val="center"/>
              <w:rPr>
                <w:rFonts w:ascii="Cambria" w:hAnsi="Cambria"/>
              </w:rPr>
            </w:pPr>
            <w:r w:rsidRPr="00E428BA">
              <w:rPr>
                <w:rFonts w:ascii="Cambria" w:hAnsi="Cambria"/>
              </w:rPr>
              <w:t xml:space="preserve">Total 163 374 945 </w:t>
            </w:r>
            <w:proofErr w:type="spellStart"/>
            <w:r w:rsidRPr="00E428BA">
              <w:rPr>
                <w:rFonts w:ascii="Cambria" w:hAnsi="Cambria"/>
              </w:rPr>
              <w:t>F</w:t>
            </w:r>
            <w:r w:rsidR="00E428BA">
              <w:rPr>
                <w:rFonts w:ascii="Cambria" w:hAnsi="Cambria"/>
              </w:rPr>
              <w:t>cfp</w:t>
            </w:r>
            <w:proofErr w:type="spellEnd"/>
            <w:r w:rsidRPr="00E428BA">
              <w:rPr>
                <w:rFonts w:ascii="Cambria" w:hAnsi="Cambria"/>
              </w:rPr>
              <w:t xml:space="preserve"> TTC</w:t>
            </w:r>
          </w:p>
        </w:tc>
        <w:tc>
          <w:tcPr>
            <w:tcW w:w="4606" w:type="dxa"/>
          </w:tcPr>
          <w:p w:rsidR="00D46250" w:rsidRPr="00E428BA" w:rsidRDefault="00D46250" w:rsidP="006A2954">
            <w:pPr>
              <w:jc w:val="center"/>
              <w:rPr>
                <w:rFonts w:ascii="Cambria" w:hAnsi="Cambria"/>
              </w:rPr>
            </w:pPr>
            <w:r w:rsidRPr="00E428BA">
              <w:rPr>
                <w:rFonts w:ascii="Cambria" w:hAnsi="Cambria"/>
              </w:rPr>
              <w:t xml:space="preserve"> </w:t>
            </w:r>
          </w:p>
        </w:tc>
      </w:tr>
    </w:tbl>
    <w:p w:rsidR="00D46250" w:rsidRPr="001D13C9" w:rsidRDefault="00D46250" w:rsidP="00D46250">
      <w:pPr>
        <w:jc w:val="both"/>
        <w:rPr>
          <w:b/>
        </w:rPr>
      </w:pPr>
    </w:p>
    <w:p w:rsidR="00D46250" w:rsidRPr="005D53EF" w:rsidRDefault="00D46250" w:rsidP="00D46250">
      <w:pPr>
        <w:ind w:firstLine="709"/>
        <w:jc w:val="both"/>
      </w:pPr>
    </w:p>
    <w:p w:rsidR="00E428BA" w:rsidRDefault="00E428BA" w:rsidP="00D46250">
      <w:pPr>
        <w:spacing w:before="240" w:after="240"/>
        <w:contextualSpacing/>
        <w:jc w:val="both"/>
        <w:rPr>
          <w:rFonts w:ascii="Cambria" w:hAnsi="Cambria"/>
          <w:b/>
        </w:rPr>
      </w:pPr>
      <w:bookmarkStart w:id="1" w:name="aide_financière"/>
    </w:p>
    <w:p w:rsidR="00D46250" w:rsidRPr="00E428BA" w:rsidRDefault="00E428BA" w:rsidP="00D46250">
      <w:pPr>
        <w:spacing w:before="240" w:after="240"/>
        <w:contextualSpacing/>
        <w:jc w:val="both"/>
        <w:rPr>
          <w:rFonts w:ascii="Cambria" w:hAnsi="Cambria"/>
          <w:b/>
        </w:rPr>
      </w:pPr>
      <w:r w:rsidRPr="00E428BA">
        <w:rPr>
          <w:rFonts w:ascii="Cambria" w:hAnsi="Cambria"/>
          <w:b/>
        </w:rPr>
        <w:t>S</w:t>
      </w:r>
      <w:r w:rsidR="00D46250" w:rsidRPr="00E428BA">
        <w:rPr>
          <w:rFonts w:ascii="Cambria" w:hAnsi="Cambria"/>
          <w:b/>
        </w:rPr>
        <w:t xml:space="preserve">ubventions de fonctionnement en faveur </w:t>
      </w:r>
      <w:bookmarkEnd w:id="1"/>
      <w:r w:rsidR="00D46250" w:rsidRPr="00E428BA">
        <w:rPr>
          <w:rFonts w:ascii="Cambria" w:hAnsi="Cambria"/>
          <w:b/>
        </w:rPr>
        <w:t>des Directions des enseignements privés Catholique, Protestant et Adventiste et de Te Pu O Te Mata Ora pour l’exercice 2020</w:t>
      </w:r>
    </w:p>
    <w:p w:rsidR="00D46250" w:rsidRPr="00E428BA" w:rsidRDefault="00D46250" w:rsidP="00D46250">
      <w:pPr>
        <w:spacing w:before="240" w:after="240"/>
        <w:ind w:firstLine="708"/>
        <w:contextualSpacing/>
        <w:jc w:val="both"/>
        <w:rPr>
          <w:rFonts w:ascii="Cambria" w:hAnsi="Cambria"/>
        </w:rPr>
      </w:pPr>
    </w:p>
    <w:p w:rsidR="00D46250" w:rsidRPr="00E428BA" w:rsidRDefault="00E428BA" w:rsidP="00E428BA">
      <w:pPr>
        <w:pStyle w:val="-LettreTexteGEDA"/>
        <w:spacing w:before="240" w:after="240"/>
        <w:ind w:firstLine="0"/>
        <w:rPr>
          <w:rFonts w:ascii="Cambria" w:hAnsi="Cambria"/>
          <w:noProof w:val="0"/>
          <w:szCs w:val="24"/>
        </w:rPr>
      </w:pPr>
      <w:r w:rsidRPr="00E428BA">
        <w:rPr>
          <w:rFonts w:ascii="Cambria" w:hAnsi="Cambria"/>
          <w:noProof w:val="0"/>
          <w:szCs w:val="24"/>
          <w:lang w:eastAsia="es-ES"/>
        </w:rPr>
        <w:t xml:space="preserve">Le </w:t>
      </w:r>
      <w:r w:rsidR="00D46250" w:rsidRPr="00E428BA">
        <w:rPr>
          <w:rFonts w:ascii="Cambria" w:hAnsi="Cambria"/>
          <w:noProof w:val="0"/>
        </w:rPr>
        <w:t xml:space="preserve">Conseil des </w:t>
      </w:r>
      <w:r w:rsidRPr="00E428BA">
        <w:rPr>
          <w:rFonts w:ascii="Cambria" w:hAnsi="Cambria"/>
          <w:noProof w:val="0"/>
        </w:rPr>
        <w:t>m</w:t>
      </w:r>
      <w:r w:rsidR="00D46250" w:rsidRPr="00E428BA">
        <w:rPr>
          <w:rFonts w:ascii="Cambria" w:hAnsi="Cambria"/>
          <w:noProof w:val="0"/>
        </w:rPr>
        <w:t xml:space="preserve">inistres </w:t>
      </w:r>
      <w:r w:rsidRPr="00E428BA">
        <w:rPr>
          <w:rFonts w:ascii="Cambria" w:hAnsi="Cambria"/>
          <w:noProof w:val="0"/>
        </w:rPr>
        <w:t xml:space="preserve">a examiné </w:t>
      </w:r>
      <w:r w:rsidR="00D46250" w:rsidRPr="00E428BA">
        <w:rPr>
          <w:rFonts w:ascii="Cambria" w:hAnsi="Cambria"/>
          <w:noProof w:val="0"/>
        </w:rPr>
        <w:t>quatre projets d’arrêtés approuvant</w:t>
      </w:r>
      <w:r w:rsidR="00D46250" w:rsidRPr="00E428BA">
        <w:rPr>
          <w:rFonts w:ascii="Cambria" w:hAnsi="Cambria"/>
        </w:rPr>
        <w:t xml:space="preserve"> l’attribution de subventions forfaitaires de fonctionnement et d’exploitation en faveur </w:t>
      </w:r>
      <w:r w:rsidR="00D46250" w:rsidRPr="00E428BA">
        <w:rPr>
          <w:rFonts w:ascii="Cambria" w:hAnsi="Cambria"/>
          <w:noProof w:val="0"/>
          <w:szCs w:val="24"/>
        </w:rPr>
        <w:t xml:space="preserve">des Directions des enseignements privés Catholique, Protestant et Adventiste et de Te Pu O Te Mata Ora pour l’exercice 2020 afin de financer les opérations </w:t>
      </w:r>
      <w:r w:rsidRPr="00E428BA">
        <w:rPr>
          <w:rFonts w:ascii="Cambria" w:hAnsi="Cambria"/>
          <w:noProof w:val="0"/>
          <w:szCs w:val="24"/>
        </w:rPr>
        <w:t>suivantes</w:t>
      </w:r>
      <w:r w:rsidR="00D46250" w:rsidRPr="00E428BA">
        <w:rPr>
          <w:rFonts w:ascii="Cambria" w:hAnsi="Cambria"/>
          <w:noProof w:val="0"/>
          <w:szCs w:val="24"/>
        </w:rPr>
        <w:t> :</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946"/>
        <w:gridCol w:w="1559"/>
      </w:tblGrid>
      <w:tr w:rsidR="00D46250" w:rsidRPr="00E428BA" w:rsidTr="006A2954">
        <w:trPr>
          <w:trHeight w:val="543"/>
        </w:trPr>
        <w:tc>
          <w:tcPr>
            <w:tcW w:w="2127" w:type="dxa"/>
            <w:vAlign w:val="center"/>
          </w:tcPr>
          <w:p w:rsidR="00D46250" w:rsidRPr="00E428BA" w:rsidRDefault="00D46250" w:rsidP="006A2954">
            <w:pPr>
              <w:pStyle w:val="-LettreTexteGEDA"/>
              <w:spacing w:before="60" w:after="60"/>
              <w:ind w:firstLine="0"/>
              <w:jc w:val="center"/>
              <w:rPr>
                <w:rFonts w:ascii="Cambria" w:hAnsi="Cambria"/>
                <w:b/>
              </w:rPr>
            </w:pPr>
            <w:r w:rsidRPr="00E428BA">
              <w:rPr>
                <w:rFonts w:ascii="Cambria" w:hAnsi="Cambria"/>
                <w:b/>
              </w:rPr>
              <w:t>Bénéficiaire</w:t>
            </w:r>
          </w:p>
        </w:tc>
        <w:tc>
          <w:tcPr>
            <w:tcW w:w="6946" w:type="dxa"/>
            <w:vAlign w:val="center"/>
          </w:tcPr>
          <w:p w:rsidR="00D46250" w:rsidRPr="00E428BA" w:rsidRDefault="00D46250" w:rsidP="006A2954">
            <w:pPr>
              <w:pStyle w:val="-LettreTexteGEDA"/>
              <w:spacing w:before="60" w:after="60"/>
              <w:ind w:firstLine="0"/>
              <w:jc w:val="center"/>
              <w:rPr>
                <w:rFonts w:ascii="Cambria" w:hAnsi="Cambria"/>
                <w:b/>
              </w:rPr>
            </w:pPr>
            <w:r w:rsidRPr="00E428BA">
              <w:rPr>
                <w:rFonts w:ascii="Cambria" w:hAnsi="Cambria"/>
                <w:b/>
              </w:rPr>
              <w:t>Objet de la subvention</w:t>
            </w:r>
          </w:p>
        </w:tc>
        <w:tc>
          <w:tcPr>
            <w:tcW w:w="1559" w:type="dxa"/>
            <w:vAlign w:val="center"/>
          </w:tcPr>
          <w:p w:rsidR="00D46250" w:rsidRPr="00E428BA" w:rsidRDefault="00D46250" w:rsidP="00E428BA">
            <w:pPr>
              <w:pStyle w:val="-LettreTexteGEDA"/>
              <w:spacing w:before="60" w:after="60"/>
              <w:ind w:firstLine="0"/>
              <w:jc w:val="center"/>
              <w:rPr>
                <w:rFonts w:ascii="Cambria" w:hAnsi="Cambria"/>
                <w:b/>
              </w:rPr>
            </w:pPr>
            <w:r w:rsidRPr="00E428BA">
              <w:rPr>
                <w:rFonts w:ascii="Cambria" w:hAnsi="Cambria"/>
                <w:b/>
              </w:rPr>
              <w:t>Montant en F</w:t>
            </w:r>
            <w:r w:rsidR="00E428BA" w:rsidRPr="00E428BA">
              <w:rPr>
                <w:rFonts w:ascii="Cambria" w:hAnsi="Cambria"/>
                <w:b/>
              </w:rPr>
              <w:t>cfp</w:t>
            </w:r>
          </w:p>
        </w:tc>
      </w:tr>
      <w:tr w:rsidR="00D46250" w:rsidRPr="00E428BA" w:rsidTr="006A2954">
        <w:trPr>
          <w:trHeight w:val="567"/>
        </w:trPr>
        <w:tc>
          <w:tcPr>
            <w:tcW w:w="2127" w:type="dxa"/>
            <w:vAlign w:val="center"/>
          </w:tcPr>
          <w:p w:rsidR="00D46250" w:rsidRPr="00E428BA" w:rsidRDefault="00D46250" w:rsidP="006A2954">
            <w:pPr>
              <w:pStyle w:val="-LettreTexteGEDA"/>
              <w:spacing w:before="60" w:after="60"/>
              <w:ind w:firstLine="0"/>
              <w:jc w:val="left"/>
              <w:rPr>
                <w:rFonts w:ascii="Cambria" w:hAnsi="Cambria"/>
                <w:noProof w:val="0"/>
              </w:rPr>
            </w:pPr>
            <w:r w:rsidRPr="00E428BA">
              <w:rPr>
                <w:rFonts w:ascii="Cambria" w:hAnsi="Cambria"/>
                <w:noProof w:val="0"/>
              </w:rPr>
              <w:t>Direction de l’enseignement privé Catholique</w:t>
            </w:r>
          </w:p>
        </w:tc>
        <w:tc>
          <w:tcPr>
            <w:tcW w:w="6946" w:type="dxa"/>
            <w:vMerge w:val="restart"/>
            <w:vAlign w:val="center"/>
          </w:tcPr>
          <w:p w:rsidR="00D46250" w:rsidRPr="00E428BA" w:rsidRDefault="00D46250" w:rsidP="0065019F">
            <w:pPr>
              <w:pStyle w:val="-LettreTexteGEDA"/>
              <w:spacing w:before="60" w:after="60"/>
              <w:ind w:firstLine="0"/>
              <w:rPr>
                <w:rFonts w:ascii="Cambria" w:hAnsi="Cambria"/>
                <w:i/>
              </w:rPr>
            </w:pPr>
            <w:r w:rsidRPr="00E428BA">
              <w:rPr>
                <w:rFonts w:ascii="Cambria" w:hAnsi="Cambria"/>
                <w:noProof w:val="0"/>
                <w:szCs w:val="24"/>
              </w:rPr>
              <w:t>Les compléments de rémunération des personnels de direction et de secrétariat des écoles du 1</w:t>
            </w:r>
            <w:r w:rsidRPr="00E428BA">
              <w:rPr>
                <w:rFonts w:ascii="Cambria" w:hAnsi="Cambria"/>
                <w:noProof w:val="0"/>
                <w:szCs w:val="24"/>
                <w:vertAlign w:val="superscript"/>
              </w:rPr>
              <w:t>er</w:t>
            </w:r>
            <w:r w:rsidRPr="00E428BA">
              <w:rPr>
                <w:rFonts w:ascii="Cambria" w:hAnsi="Cambria"/>
                <w:noProof w:val="0"/>
                <w:szCs w:val="24"/>
              </w:rPr>
              <w:t xml:space="preserve"> degré, des personnels affectés aux services pédagogiques, d’aide sociale et de psychologie, d</w:t>
            </w:r>
            <w:r w:rsidRPr="00E428BA">
              <w:rPr>
                <w:rFonts w:ascii="Cambria" w:hAnsi="Cambria"/>
              </w:rPr>
              <w:t>es personnels affectés aux services pédagogique et numérique, des personnels affectés aux services à l’élève et à la famille (psychologie, aide sociale et santé scolaire) et des personnels des internats et foyers accueillant des élèves scolarisés dans des établissements de l’Education Nationale ou de l’Enseignement Agricole dans le cadre de la convention du 1</w:t>
            </w:r>
            <w:r w:rsidRPr="00E428BA">
              <w:rPr>
                <w:rFonts w:ascii="Cambria" w:hAnsi="Cambria"/>
                <w:vertAlign w:val="superscript"/>
              </w:rPr>
              <w:t>er</w:t>
            </w:r>
            <w:r w:rsidRPr="00E428BA">
              <w:rPr>
                <w:rFonts w:ascii="Cambria" w:hAnsi="Cambria"/>
              </w:rPr>
              <w:t xml:space="preserve"> septembre 2017 sur les rapports entre la Polynésie française et les Enseignements Privés Catholique, Protestant et Adventiste sous contrat d’association avec l’Etat.</w:t>
            </w:r>
          </w:p>
        </w:tc>
        <w:tc>
          <w:tcPr>
            <w:tcW w:w="1559" w:type="dxa"/>
            <w:vAlign w:val="center"/>
          </w:tcPr>
          <w:p w:rsidR="00D46250" w:rsidRPr="00E428BA" w:rsidRDefault="00D46250" w:rsidP="006A2954">
            <w:pPr>
              <w:pStyle w:val="-LettreTexteGEDA"/>
              <w:spacing w:before="0"/>
              <w:ind w:firstLine="0"/>
              <w:jc w:val="center"/>
              <w:rPr>
                <w:rFonts w:ascii="Cambria" w:hAnsi="Cambria"/>
                <w:noProof w:val="0"/>
              </w:rPr>
            </w:pPr>
            <w:r w:rsidRPr="00E428BA">
              <w:rPr>
                <w:rFonts w:ascii="Cambria" w:hAnsi="Cambria"/>
                <w:noProof w:val="0"/>
              </w:rPr>
              <w:t>302 900 000</w:t>
            </w:r>
          </w:p>
        </w:tc>
      </w:tr>
      <w:tr w:rsidR="00D46250" w:rsidRPr="00E428BA" w:rsidTr="006A2954">
        <w:trPr>
          <w:trHeight w:val="567"/>
        </w:trPr>
        <w:tc>
          <w:tcPr>
            <w:tcW w:w="2127" w:type="dxa"/>
            <w:vAlign w:val="center"/>
          </w:tcPr>
          <w:p w:rsidR="00D46250" w:rsidRPr="00E428BA" w:rsidRDefault="00D46250" w:rsidP="006A2954">
            <w:pPr>
              <w:pStyle w:val="-LettreTexteGEDA"/>
              <w:spacing w:before="60" w:after="60"/>
              <w:ind w:firstLine="0"/>
              <w:jc w:val="left"/>
              <w:rPr>
                <w:rFonts w:ascii="Cambria" w:hAnsi="Cambria"/>
                <w:noProof w:val="0"/>
              </w:rPr>
            </w:pPr>
            <w:r w:rsidRPr="00E428BA">
              <w:rPr>
                <w:rFonts w:ascii="Cambria" w:hAnsi="Cambria"/>
                <w:noProof w:val="0"/>
              </w:rPr>
              <w:t>Direction de l’enseignement privé Protestant</w:t>
            </w:r>
          </w:p>
        </w:tc>
        <w:tc>
          <w:tcPr>
            <w:tcW w:w="6946" w:type="dxa"/>
            <w:vMerge/>
            <w:vAlign w:val="center"/>
          </w:tcPr>
          <w:p w:rsidR="00D46250" w:rsidRPr="00E428BA" w:rsidRDefault="00D46250" w:rsidP="006A2954">
            <w:pPr>
              <w:pStyle w:val="-LettreTexteGEDA"/>
              <w:spacing w:before="60" w:after="60"/>
              <w:jc w:val="left"/>
              <w:rPr>
                <w:rFonts w:ascii="Cambria" w:hAnsi="Cambria"/>
              </w:rPr>
            </w:pPr>
          </w:p>
        </w:tc>
        <w:tc>
          <w:tcPr>
            <w:tcW w:w="1559" w:type="dxa"/>
            <w:vAlign w:val="center"/>
          </w:tcPr>
          <w:p w:rsidR="00D46250" w:rsidRPr="00E428BA" w:rsidRDefault="00D46250" w:rsidP="006A2954">
            <w:pPr>
              <w:pStyle w:val="-LettreTexteGEDA"/>
              <w:spacing w:before="0"/>
              <w:ind w:firstLine="0"/>
              <w:jc w:val="center"/>
              <w:rPr>
                <w:rFonts w:ascii="Cambria" w:hAnsi="Cambria"/>
                <w:noProof w:val="0"/>
              </w:rPr>
            </w:pPr>
            <w:r w:rsidRPr="00E428BA">
              <w:rPr>
                <w:rFonts w:ascii="Cambria" w:hAnsi="Cambria"/>
                <w:noProof w:val="0"/>
              </w:rPr>
              <w:t>75 500 000</w:t>
            </w:r>
          </w:p>
        </w:tc>
      </w:tr>
      <w:tr w:rsidR="00D46250" w:rsidRPr="00E428BA" w:rsidTr="006A2954">
        <w:trPr>
          <w:trHeight w:val="728"/>
        </w:trPr>
        <w:tc>
          <w:tcPr>
            <w:tcW w:w="2127" w:type="dxa"/>
            <w:vAlign w:val="center"/>
          </w:tcPr>
          <w:p w:rsidR="00D46250" w:rsidRPr="00E428BA" w:rsidRDefault="00D46250" w:rsidP="006A2954">
            <w:pPr>
              <w:pStyle w:val="-LettreTexteGEDA"/>
              <w:spacing w:before="60" w:after="60"/>
              <w:ind w:firstLine="0"/>
              <w:jc w:val="left"/>
              <w:rPr>
                <w:rFonts w:ascii="Cambria" w:hAnsi="Cambria"/>
                <w:noProof w:val="0"/>
              </w:rPr>
            </w:pPr>
            <w:r w:rsidRPr="00E428BA">
              <w:rPr>
                <w:rFonts w:ascii="Cambria" w:hAnsi="Cambria"/>
                <w:noProof w:val="0"/>
              </w:rPr>
              <w:t>Direction de l’enseignement privé Adventiste</w:t>
            </w:r>
          </w:p>
        </w:tc>
        <w:tc>
          <w:tcPr>
            <w:tcW w:w="6946" w:type="dxa"/>
            <w:vMerge/>
            <w:vAlign w:val="center"/>
          </w:tcPr>
          <w:p w:rsidR="00D46250" w:rsidRPr="00E428BA" w:rsidRDefault="00D46250" w:rsidP="006A2954">
            <w:pPr>
              <w:pStyle w:val="-LettreTexteGEDA"/>
              <w:spacing w:before="60" w:after="60"/>
              <w:ind w:firstLine="0"/>
              <w:jc w:val="left"/>
              <w:rPr>
                <w:rFonts w:ascii="Cambria" w:hAnsi="Cambria"/>
              </w:rPr>
            </w:pPr>
          </w:p>
        </w:tc>
        <w:tc>
          <w:tcPr>
            <w:tcW w:w="1559" w:type="dxa"/>
            <w:vAlign w:val="center"/>
          </w:tcPr>
          <w:p w:rsidR="00D46250" w:rsidRPr="00E428BA" w:rsidRDefault="00D46250" w:rsidP="006A2954">
            <w:pPr>
              <w:pStyle w:val="-LettreTexteGEDA"/>
              <w:spacing w:before="0"/>
              <w:ind w:firstLine="0"/>
              <w:jc w:val="center"/>
              <w:rPr>
                <w:rFonts w:ascii="Cambria" w:hAnsi="Cambria"/>
                <w:noProof w:val="0"/>
              </w:rPr>
            </w:pPr>
            <w:r w:rsidRPr="00E428BA">
              <w:rPr>
                <w:rFonts w:ascii="Cambria" w:hAnsi="Cambria"/>
                <w:noProof w:val="0"/>
              </w:rPr>
              <w:t>11 000 000</w:t>
            </w:r>
          </w:p>
        </w:tc>
      </w:tr>
      <w:tr w:rsidR="00D46250" w:rsidRPr="00E428BA" w:rsidTr="006A2954">
        <w:trPr>
          <w:trHeight w:val="567"/>
        </w:trPr>
        <w:tc>
          <w:tcPr>
            <w:tcW w:w="2127" w:type="dxa"/>
            <w:vAlign w:val="center"/>
          </w:tcPr>
          <w:p w:rsidR="00D46250" w:rsidRPr="00E428BA" w:rsidRDefault="00D46250" w:rsidP="006A2954">
            <w:pPr>
              <w:pStyle w:val="-LettreTexteGEDA"/>
              <w:spacing w:before="60" w:after="60"/>
              <w:ind w:firstLine="0"/>
              <w:jc w:val="left"/>
              <w:rPr>
                <w:rFonts w:ascii="Cambria" w:hAnsi="Cambria"/>
                <w:noProof w:val="0"/>
              </w:rPr>
            </w:pPr>
            <w:r w:rsidRPr="00E428BA">
              <w:rPr>
                <w:rFonts w:ascii="Cambria" w:hAnsi="Cambria"/>
                <w:noProof w:val="0"/>
              </w:rPr>
              <w:lastRenderedPageBreak/>
              <w:t>Te Pu O Te Mata Ora</w:t>
            </w:r>
          </w:p>
        </w:tc>
        <w:tc>
          <w:tcPr>
            <w:tcW w:w="6946" w:type="dxa"/>
            <w:vAlign w:val="center"/>
          </w:tcPr>
          <w:p w:rsidR="00D46250" w:rsidRPr="00E428BA" w:rsidRDefault="00D46250" w:rsidP="006A2954">
            <w:pPr>
              <w:pStyle w:val="-LettreTexteGEDA"/>
              <w:spacing w:before="60" w:after="60"/>
              <w:ind w:firstLine="0"/>
              <w:jc w:val="left"/>
              <w:rPr>
                <w:rFonts w:ascii="Cambria" w:hAnsi="Cambria"/>
              </w:rPr>
            </w:pPr>
            <w:r w:rsidRPr="00E428BA">
              <w:rPr>
                <w:rFonts w:ascii="Cambria" w:hAnsi="Cambria"/>
              </w:rPr>
              <w:t>La formation continue des enseignants.</w:t>
            </w:r>
          </w:p>
        </w:tc>
        <w:tc>
          <w:tcPr>
            <w:tcW w:w="1559" w:type="dxa"/>
            <w:vAlign w:val="center"/>
          </w:tcPr>
          <w:p w:rsidR="00D46250" w:rsidRPr="00E428BA" w:rsidRDefault="00D46250" w:rsidP="006A2954">
            <w:pPr>
              <w:pStyle w:val="-LettreTexteGEDA"/>
              <w:spacing w:before="0"/>
              <w:ind w:firstLine="0"/>
              <w:jc w:val="center"/>
              <w:rPr>
                <w:rFonts w:ascii="Cambria" w:hAnsi="Cambria"/>
                <w:noProof w:val="0"/>
              </w:rPr>
            </w:pPr>
            <w:r w:rsidRPr="00E428BA">
              <w:rPr>
                <w:rFonts w:ascii="Cambria" w:hAnsi="Cambria"/>
                <w:noProof w:val="0"/>
              </w:rPr>
              <w:t>9 188 544</w:t>
            </w:r>
          </w:p>
        </w:tc>
      </w:tr>
    </w:tbl>
    <w:p w:rsidR="00D46250" w:rsidRPr="00E428BA" w:rsidRDefault="00E428BA" w:rsidP="00E428BA">
      <w:pPr>
        <w:pStyle w:val="-LettreTexteGEDA"/>
        <w:spacing w:before="240"/>
        <w:ind w:firstLine="0"/>
        <w:rPr>
          <w:rFonts w:ascii="Cambria" w:hAnsi="Cambria"/>
          <w:noProof w:val="0"/>
        </w:rPr>
      </w:pPr>
      <w:r w:rsidRPr="00E428BA">
        <w:rPr>
          <w:rFonts w:ascii="Cambria" w:hAnsi="Cambria"/>
          <w:noProof w:val="0"/>
        </w:rPr>
        <w:t xml:space="preserve">Les différents </w:t>
      </w:r>
      <w:r w:rsidR="00D46250" w:rsidRPr="00E428BA">
        <w:rPr>
          <w:rFonts w:ascii="Cambria" w:hAnsi="Cambria"/>
          <w:noProof w:val="0"/>
        </w:rPr>
        <w:t xml:space="preserve">arrêtés </w:t>
      </w:r>
      <w:r w:rsidRPr="00E428BA">
        <w:rPr>
          <w:rFonts w:ascii="Cambria" w:hAnsi="Cambria"/>
          <w:noProof w:val="0"/>
        </w:rPr>
        <w:t xml:space="preserve">examinés </w:t>
      </w:r>
      <w:r w:rsidRPr="00E428BA">
        <w:rPr>
          <w:rFonts w:ascii="Cambria" w:hAnsi="Cambria"/>
        </w:rPr>
        <w:t>eprésentent un</w:t>
      </w:r>
      <w:r w:rsidR="00D46250" w:rsidRPr="00E428BA">
        <w:rPr>
          <w:rFonts w:ascii="Cambria" w:hAnsi="Cambria"/>
        </w:rPr>
        <w:t xml:space="preserve"> montant global de </w:t>
      </w:r>
      <w:r w:rsidRPr="00E428BA">
        <w:rPr>
          <w:rFonts w:ascii="Cambria" w:hAnsi="Cambria"/>
        </w:rPr>
        <w:t xml:space="preserve">subvention de </w:t>
      </w:r>
      <w:r w:rsidR="00D46250" w:rsidRPr="00E428BA">
        <w:rPr>
          <w:rFonts w:ascii="Cambria" w:hAnsi="Cambria"/>
        </w:rPr>
        <w:t>398 588 544 F</w:t>
      </w:r>
      <w:r w:rsidRPr="00E428BA">
        <w:rPr>
          <w:rFonts w:ascii="Cambria" w:hAnsi="Cambria"/>
        </w:rPr>
        <w:t>cfp</w:t>
      </w:r>
      <w:r w:rsidR="00D46250" w:rsidRPr="00E428BA">
        <w:rPr>
          <w:rFonts w:ascii="Cambria" w:hAnsi="Cambria"/>
        </w:rPr>
        <w:t>.</w:t>
      </w:r>
    </w:p>
    <w:p w:rsidR="00E97051" w:rsidRPr="00E428BA" w:rsidRDefault="00E97051" w:rsidP="00BE6C5B">
      <w:pPr>
        <w:pStyle w:val="-LettreTexteGEDA"/>
        <w:ind w:firstLine="0"/>
        <w:rPr>
          <w:rFonts w:ascii="Cambria" w:hAnsi="Cambria"/>
          <w:noProof w:val="0"/>
        </w:rPr>
      </w:pPr>
    </w:p>
    <w:p w:rsidR="008059E4" w:rsidRPr="00DA69B1" w:rsidRDefault="00264EF2" w:rsidP="00CD5D5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B52" w:rsidRDefault="003D5B52">
      <w:r>
        <w:separator/>
      </w:r>
    </w:p>
  </w:endnote>
  <w:endnote w:type="continuationSeparator" w:id="0">
    <w:p w:rsidR="003D5B52" w:rsidRDefault="003D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42DA2" w:rsidRDefault="003D5B52"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Pr="00BA209E" w:rsidRDefault="00642DA2" w:rsidP="00922ABB">
    <w:pPr>
      <w:pStyle w:val="Pieddepage"/>
      <w:jc w:val="center"/>
      <w:rPr>
        <w:i/>
        <w:sz w:val="20"/>
        <w:szCs w:val="20"/>
      </w:rPr>
    </w:pPr>
    <w:r w:rsidRPr="00BA209E">
      <w:rPr>
        <w:i/>
        <w:sz w:val="20"/>
        <w:szCs w:val="20"/>
      </w:rPr>
      <w:t>Présidence de la Polynésie Française</w:t>
    </w:r>
  </w:p>
  <w:p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rsidR="00642DA2" w:rsidRPr="00BA209E" w:rsidRDefault="003D5B52"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B52" w:rsidRDefault="003D5B52">
      <w:r>
        <w:separator/>
      </w:r>
    </w:p>
  </w:footnote>
  <w:footnote w:type="continuationSeparator" w:id="0">
    <w:p w:rsidR="003D5B52" w:rsidRDefault="003D5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006D"/>
    <w:multiLevelType w:val="hybridMultilevel"/>
    <w:tmpl w:val="818EA7B8"/>
    <w:lvl w:ilvl="0" w:tplc="A59CDCC2">
      <w:numFmt w:val="bullet"/>
      <w:lvlText w:val="-"/>
      <w:lvlJc w:val="left"/>
      <w:pPr>
        <w:ind w:left="1494" w:hanging="360"/>
      </w:pPr>
      <w:rPr>
        <w:rFonts w:ascii="Cambria" w:eastAsia="Calibri" w:hAnsi="Cambria"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E004085"/>
    <w:multiLevelType w:val="hybridMultilevel"/>
    <w:tmpl w:val="F4B0A1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3">
    <w:nsid w:val="153F5230"/>
    <w:multiLevelType w:val="hybridMultilevel"/>
    <w:tmpl w:val="4A04D980"/>
    <w:lvl w:ilvl="0" w:tplc="CB7280BC">
      <w:start w:val="16"/>
      <w:numFmt w:val="bullet"/>
      <w:lvlText w:val="-"/>
      <w:lvlJc w:val="left"/>
      <w:pPr>
        <w:ind w:left="660" w:hanging="360"/>
      </w:pPr>
      <w:rPr>
        <w:rFonts w:ascii="Times New Roman" w:eastAsia="Times New Roman" w:hAnsi="Times New Roman" w:cs="Times New Roman"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4">
    <w:nsid w:val="15910F4A"/>
    <w:multiLevelType w:val="hybridMultilevel"/>
    <w:tmpl w:val="9AD69F20"/>
    <w:lvl w:ilvl="0" w:tplc="BAD4E5D4">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5">
    <w:nsid w:val="16FF74B8"/>
    <w:multiLevelType w:val="hybridMultilevel"/>
    <w:tmpl w:val="048A7F40"/>
    <w:lvl w:ilvl="0" w:tplc="F320CB1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865AD1"/>
    <w:multiLevelType w:val="hybridMultilevel"/>
    <w:tmpl w:val="45B6CBDC"/>
    <w:lvl w:ilvl="0" w:tplc="F38A9B02">
      <w:start w:val="3"/>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7">
    <w:nsid w:val="22AC5375"/>
    <w:multiLevelType w:val="hybridMultilevel"/>
    <w:tmpl w:val="190E9786"/>
    <w:lvl w:ilvl="0" w:tplc="4BC4190A">
      <w:numFmt w:val="bullet"/>
      <w:lvlText w:val="-"/>
      <w:lvlJc w:val="left"/>
      <w:pPr>
        <w:ind w:left="700" w:hanging="360"/>
      </w:pPr>
      <w:rPr>
        <w:rFonts w:ascii="Times New Roman" w:eastAsia="Times New Roman" w:hAnsi="Times New Roman" w:cs="Times New Roman" w:hint="default"/>
      </w:rPr>
    </w:lvl>
    <w:lvl w:ilvl="1" w:tplc="040C0003">
      <w:start w:val="1"/>
      <w:numFmt w:val="bullet"/>
      <w:lvlText w:val="o"/>
      <w:lvlJc w:val="left"/>
      <w:pPr>
        <w:ind w:left="1420" w:hanging="360"/>
      </w:pPr>
      <w:rPr>
        <w:rFonts w:ascii="Courier New" w:hAnsi="Courier New" w:cs="Courier New" w:hint="default"/>
      </w:rPr>
    </w:lvl>
    <w:lvl w:ilvl="2" w:tplc="040C0005">
      <w:start w:val="1"/>
      <w:numFmt w:val="bullet"/>
      <w:lvlText w:val=""/>
      <w:lvlJc w:val="left"/>
      <w:pPr>
        <w:ind w:left="2140" w:hanging="360"/>
      </w:pPr>
      <w:rPr>
        <w:rFonts w:ascii="Wingdings" w:hAnsi="Wingdings" w:hint="default"/>
      </w:rPr>
    </w:lvl>
    <w:lvl w:ilvl="3" w:tplc="040C0001">
      <w:start w:val="1"/>
      <w:numFmt w:val="bullet"/>
      <w:lvlText w:val=""/>
      <w:lvlJc w:val="left"/>
      <w:pPr>
        <w:ind w:left="2860" w:hanging="360"/>
      </w:pPr>
      <w:rPr>
        <w:rFonts w:ascii="Symbol" w:hAnsi="Symbol" w:hint="default"/>
      </w:rPr>
    </w:lvl>
    <w:lvl w:ilvl="4" w:tplc="040C0003">
      <w:start w:val="1"/>
      <w:numFmt w:val="bullet"/>
      <w:lvlText w:val="o"/>
      <w:lvlJc w:val="left"/>
      <w:pPr>
        <w:ind w:left="3580" w:hanging="360"/>
      </w:pPr>
      <w:rPr>
        <w:rFonts w:ascii="Courier New" w:hAnsi="Courier New" w:cs="Courier New" w:hint="default"/>
      </w:rPr>
    </w:lvl>
    <w:lvl w:ilvl="5" w:tplc="040C0005">
      <w:start w:val="1"/>
      <w:numFmt w:val="bullet"/>
      <w:lvlText w:val=""/>
      <w:lvlJc w:val="left"/>
      <w:pPr>
        <w:ind w:left="4300" w:hanging="360"/>
      </w:pPr>
      <w:rPr>
        <w:rFonts w:ascii="Wingdings" w:hAnsi="Wingdings" w:hint="default"/>
      </w:rPr>
    </w:lvl>
    <w:lvl w:ilvl="6" w:tplc="040C0001">
      <w:start w:val="1"/>
      <w:numFmt w:val="bullet"/>
      <w:lvlText w:val=""/>
      <w:lvlJc w:val="left"/>
      <w:pPr>
        <w:ind w:left="5020" w:hanging="360"/>
      </w:pPr>
      <w:rPr>
        <w:rFonts w:ascii="Symbol" w:hAnsi="Symbol" w:hint="default"/>
      </w:rPr>
    </w:lvl>
    <w:lvl w:ilvl="7" w:tplc="040C0003">
      <w:start w:val="1"/>
      <w:numFmt w:val="bullet"/>
      <w:lvlText w:val="o"/>
      <w:lvlJc w:val="left"/>
      <w:pPr>
        <w:ind w:left="5740" w:hanging="360"/>
      </w:pPr>
      <w:rPr>
        <w:rFonts w:ascii="Courier New" w:hAnsi="Courier New" w:cs="Courier New" w:hint="default"/>
      </w:rPr>
    </w:lvl>
    <w:lvl w:ilvl="8" w:tplc="040C0005">
      <w:start w:val="1"/>
      <w:numFmt w:val="bullet"/>
      <w:lvlText w:val=""/>
      <w:lvlJc w:val="left"/>
      <w:pPr>
        <w:ind w:left="6460" w:hanging="360"/>
      </w:pPr>
      <w:rPr>
        <w:rFonts w:ascii="Wingdings" w:hAnsi="Wingdings" w:hint="default"/>
      </w:rPr>
    </w:lvl>
  </w:abstractNum>
  <w:abstractNum w:abstractNumId="8">
    <w:nsid w:val="23647264"/>
    <w:multiLevelType w:val="hybridMultilevel"/>
    <w:tmpl w:val="32FAF24A"/>
    <w:lvl w:ilvl="0" w:tplc="E8105548">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FDA6FC6"/>
    <w:multiLevelType w:val="hybridMultilevel"/>
    <w:tmpl w:val="4A42421C"/>
    <w:lvl w:ilvl="0" w:tplc="80D874CC">
      <w:start w:val="1"/>
      <w:numFmt w:val="decimal"/>
      <w:lvlText w:val="%1."/>
      <w:lvlJc w:val="left"/>
      <w:pPr>
        <w:ind w:left="1571" w:hanging="360"/>
      </w:pPr>
      <w:rPr>
        <w:rFonts w:hint="default"/>
        <w:i w:val="0"/>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1">
    <w:nsid w:val="363E30A0"/>
    <w:multiLevelType w:val="hybridMultilevel"/>
    <w:tmpl w:val="D5EC5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AF36C0"/>
    <w:multiLevelType w:val="hybridMultilevel"/>
    <w:tmpl w:val="8392DAF6"/>
    <w:lvl w:ilvl="0" w:tplc="ED7A2018">
      <w:start w:val="16"/>
      <w:numFmt w:val="bullet"/>
      <w:lvlText w:val="-"/>
      <w:lvlJc w:val="left"/>
      <w:pPr>
        <w:ind w:left="1065" w:hanging="360"/>
      </w:pPr>
      <w:rPr>
        <w:rFonts w:ascii="Times New Roman" w:eastAsia="Times New Roman"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13">
    <w:nsid w:val="3B6E3CB6"/>
    <w:multiLevelType w:val="hybridMultilevel"/>
    <w:tmpl w:val="A7668B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5">
    <w:nsid w:val="40D3159D"/>
    <w:multiLevelType w:val="hybridMultilevel"/>
    <w:tmpl w:val="B9FEB730"/>
    <w:lvl w:ilvl="0" w:tplc="1E784C9E">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7">
    <w:nsid w:val="488C6C28"/>
    <w:multiLevelType w:val="hybridMultilevel"/>
    <w:tmpl w:val="0F24425E"/>
    <w:lvl w:ilvl="0" w:tplc="4CD28BA0">
      <w:start w:val="251"/>
      <w:numFmt w:val="bullet"/>
      <w:lvlText w:val="­"/>
      <w:lvlJc w:val="left"/>
      <w:pPr>
        <w:ind w:left="1571" w:hanging="360"/>
      </w:pPr>
      <w:rPr>
        <w:rFonts w:ascii="Arial" w:eastAsia="Arial" w:hAnsi="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nsid w:val="498D6CCA"/>
    <w:multiLevelType w:val="hybridMultilevel"/>
    <w:tmpl w:val="DA8CEF90"/>
    <w:lvl w:ilvl="0" w:tplc="B360D87E">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9">
    <w:nsid w:val="4A666337"/>
    <w:multiLevelType w:val="hybridMultilevel"/>
    <w:tmpl w:val="CB447612"/>
    <w:lvl w:ilvl="0" w:tplc="15DCE854">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EB53DC5"/>
    <w:multiLevelType w:val="hybridMultilevel"/>
    <w:tmpl w:val="F3CEC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52D6960"/>
    <w:multiLevelType w:val="hybridMultilevel"/>
    <w:tmpl w:val="8662EA50"/>
    <w:lvl w:ilvl="0" w:tplc="B13CCB72">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55712553"/>
    <w:multiLevelType w:val="hybridMultilevel"/>
    <w:tmpl w:val="2B48AE8E"/>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nsid w:val="582F4CE2"/>
    <w:multiLevelType w:val="hybridMultilevel"/>
    <w:tmpl w:val="9DC2B7F0"/>
    <w:lvl w:ilvl="0" w:tplc="EFEA912A">
      <w:start w:val="1"/>
      <w:numFmt w:val="decimal"/>
      <w:lvlText w:val="%1-"/>
      <w:lvlJc w:val="left"/>
      <w:pPr>
        <w:ind w:left="1778" w:hanging="360"/>
      </w:pPr>
      <w:rPr>
        <w:rFonts w:hint="default"/>
      </w:rPr>
    </w:lvl>
    <w:lvl w:ilvl="1" w:tplc="20000019" w:tentative="1">
      <w:start w:val="1"/>
      <w:numFmt w:val="lowerLetter"/>
      <w:lvlText w:val="%2."/>
      <w:lvlJc w:val="left"/>
      <w:pPr>
        <w:ind w:left="2498" w:hanging="360"/>
      </w:pPr>
    </w:lvl>
    <w:lvl w:ilvl="2" w:tplc="2000001B" w:tentative="1">
      <w:start w:val="1"/>
      <w:numFmt w:val="lowerRoman"/>
      <w:lvlText w:val="%3."/>
      <w:lvlJc w:val="right"/>
      <w:pPr>
        <w:ind w:left="3218" w:hanging="180"/>
      </w:pPr>
    </w:lvl>
    <w:lvl w:ilvl="3" w:tplc="2000000F" w:tentative="1">
      <w:start w:val="1"/>
      <w:numFmt w:val="decimal"/>
      <w:lvlText w:val="%4."/>
      <w:lvlJc w:val="left"/>
      <w:pPr>
        <w:ind w:left="3938" w:hanging="360"/>
      </w:pPr>
    </w:lvl>
    <w:lvl w:ilvl="4" w:tplc="20000019" w:tentative="1">
      <w:start w:val="1"/>
      <w:numFmt w:val="lowerLetter"/>
      <w:lvlText w:val="%5."/>
      <w:lvlJc w:val="left"/>
      <w:pPr>
        <w:ind w:left="4658" w:hanging="360"/>
      </w:pPr>
    </w:lvl>
    <w:lvl w:ilvl="5" w:tplc="2000001B" w:tentative="1">
      <w:start w:val="1"/>
      <w:numFmt w:val="lowerRoman"/>
      <w:lvlText w:val="%6."/>
      <w:lvlJc w:val="right"/>
      <w:pPr>
        <w:ind w:left="5378" w:hanging="180"/>
      </w:pPr>
    </w:lvl>
    <w:lvl w:ilvl="6" w:tplc="2000000F" w:tentative="1">
      <w:start w:val="1"/>
      <w:numFmt w:val="decimal"/>
      <w:lvlText w:val="%7."/>
      <w:lvlJc w:val="left"/>
      <w:pPr>
        <w:ind w:left="6098" w:hanging="360"/>
      </w:pPr>
    </w:lvl>
    <w:lvl w:ilvl="7" w:tplc="20000019" w:tentative="1">
      <w:start w:val="1"/>
      <w:numFmt w:val="lowerLetter"/>
      <w:lvlText w:val="%8."/>
      <w:lvlJc w:val="left"/>
      <w:pPr>
        <w:ind w:left="6818" w:hanging="360"/>
      </w:pPr>
    </w:lvl>
    <w:lvl w:ilvl="8" w:tplc="2000001B" w:tentative="1">
      <w:start w:val="1"/>
      <w:numFmt w:val="lowerRoman"/>
      <w:lvlText w:val="%9."/>
      <w:lvlJc w:val="right"/>
      <w:pPr>
        <w:ind w:left="7538" w:hanging="180"/>
      </w:pPr>
    </w:lvl>
  </w:abstractNum>
  <w:abstractNum w:abstractNumId="24">
    <w:nsid w:val="584F05CB"/>
    <w:multiLevelType w:val="hybridMultilevel"/>
    <w:tmpl w:val="DE282D32"/>
    <w:lvl w:ilvl="0" w:tplc="040C000B">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25">
    <w:nsid w:val="5EA24052"/>
    <w:multiLevelType w:val="hybridMultilevel"/>
    <w:tmpl w:val="9E8E5818"/>
    <w:lvl w:ilvl="0" w:tplc="4558BE9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6">
    <w:nsid w:val="694014EA"/>
    <w:multiLevelType w:val="hybridMultilevel"/>
    <w:tmpl w:val="FDAA2E60"/>
    <w:lvl w:ilvl="0" w:tplc="E79841E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8">
    <w:nsid w:val="6B073BBC"/>
    <w:multiLevelType w:val="hybridMultilevel"/>
    <w:tmpl w:val="A7ACF21A"/>
    <w:lvl w:ilvl="0" w:tplc="1E784C9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EC25E1E"/>
    <w:multiLevelType w:val="hybridMultilevel"/>
    <w:tmpl w:val="47FAC7C6"/>
    <w:lvl w:ilvl="0" w:tplc="ACC46FE0">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31">
    <w:nsid w:val="74507261"/>
    <w:multiLevelType w:val="hybridMultilevel"/>
    <w:tmpl w:val="6A3E42F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75C5D0B"/>
    <w:multiLevelType w:val="hybridMultilevel"/>
    <w:tmpl w:val="5CFC92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77224C6"/>
    <w:multiLevelType w:val="hybridMultilevel"/>
    <w:tmpl w:val="CE566B10"/>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4">
    <w:nsid w:val="792147B1"/>
    <w:multiLevelType w:val="hybridMultilevel"/>
    <w:tmpl w:val="446C46CE"/>
    <w:lvl w:ilvl="0" w:tplc="0A68BA86">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5">
    <w:nsid w:val="7B431976"/>
    <w:multiLevelType w:val="hybridMultilevel"/>
    <w:tmpl w:val="FE5A615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6">
    <w:nsid w:val="7DA1617E"/>
    <w:multiLevelType w:val="hybridMultilevel"/>
    <w:tmpl w:val="21AC3910"/>
    <w:lvl w:ilvl="0" w:tplc="1B7A7A88">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7">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abstractNum w:abstractNumId="38">
    <w:nsid w:val="7F6D4C86"/>
    <w:multiLevelType w:val="hybridMultilevel"/>
    <w:tmpl w:val="0F4C5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37"/>
  </w:num>
  <w:num w:numId="4">
    <w:abstractNumId w:val="27"/>
  </w:num>
  <w:num w:numId="5">
    <w:abstractNumId w:val="30"/>
  </w:num>
  <w:num w:numId="6">
    <w:abstractNumId w:val="2"/>
  </w:num>
  <w:num w:numId="7">
    <w:abstractNumId w:val="9"/>
  </w:num>
  <w:num w:numId="8">
    <w:abstractNumId w:val="11"/>
  </w:num>
  <w:num w:numId="9">
    <w:abstractNumId w:val="17"/>
  </w:num>
  <w:num w:numId="10">
    <w:abstractNumId w:val="34"/>
  </w:num>
  <w:num w:numId="11">
    <w:abstractNumId w:val="12"/>
  </w:num>
  <w:num w:numId="12">
    <w:abstractNumId w:val="23"/>
  </w:num>
  <w:num w:numId="13">
    <w:abstractNumId w:val="6"/>
  </w:num>
  <w:num w:numId="14">
    <w:abstractNumId w:val="19"/>
  </w:num>
  <w:num w:numId="15">
    <w:abstractNumId w:val="38"/>
  </w:num>
  <w:num w:numId="16">
    <w:abstractNumId w:val="1"/>
  </w:num>
  <w:num w:numId="17">
    <w:abstractNumId w:val="15"/>
  </w:num>
  <w:num w:numId="18">
    <w:abstractNumId w:val="7"/>
  </w:num>
  <w:num w:numId="19">
    <w:abstractNumId w:val="28"/>
  </w:num>
  <w:num w:numId="20">
    <w:abstractNumId w:val="24"/>
  </w:num>
  <w:num w:numId="21">
    <w:abstractNumId w:val="29"/>
  </w:num>
  <w:num w:numId="22">
    <w:abstractNumId w:val="21"/>
  </w:num>
  <w:num w:numId="23">
    <w:abstractNumId w:val="26"/>
  </w:num>
  <w:num w:numId="24">
    <w:abstractNumId w:val="22"/>
  </w:num>
  <w:num w:numId="25">
    <w:abstractNumId w:val="36"/>
  </w:num>
  <w:num w:numId="26">
    <w:abstractNumId w:val="20"/>
  </w:num>
  <w:num w:numId="27">
    <w:abstractNumId w:val="13"/>
  </w:num>
  <w:num w:numId="28">
    <w:abstractNumId w:val="4"/>
  </w:num>
  <w:num w:numId="29">
    <w:abstractNumId w:val="18"/>
  </w:num>
  <w:num w:numId="30">
    <w:abstractNumId w:val="35"/>
  </w:num>
  <w:num w:numId="31">
    <w:abstractNumId w:val="10"/>
  </w:num>
  <w:num w:numId="32">
    <w:abstractNumId w:val="0"/>
  </w:num>
  <w:num w:numId="33">
    <w:abstractNumId w:val="32"/>
  </w:num>
  <w:num w:numId="34">
    <w:abstractNumId w:val="3"/>
  </w:num>
  <w:num w:numId="35">
    <w:abstractNumId w:val="25"/>
  </w:num>
  <w:num w:numId="36">
    <w:abstractNumId w:val="5"/>
  </w:num>
  <w:num w:numId="37">
    <w:abstractNumId w:val="33"/>
  </w:num>
  <w:num w:numId="38">
    <w:abstractNumId w:val="31"/>
  </w:num>
  <w:num w:numId="39">
    <w:abstractNumId w:val="8"/>
  </w:num>
  <w:num w:numId="40">
    <w:abstractNumId w:val="25"/>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27CD3"/>
    <w:rsid w:val="0003093E"/>
    <w:rsid w:val="00033658"/>
    <w:rsid w:val="00040642"/>
    <w:rsid w:val="000442CB"/>
    <w:rsid w:val="000448E5"/>
    <w:rsid w:val="0004526C"/>
    <w:rsid w:val="00045E81"/>
    <w:rsid w:val="00047992"/>
    <w:rsid w:val="000508C8"/>
    <w:rsid w:val="000561CA"/>
    <w:rsid w:val="00063EA4"/>
    <w:rsid w:val="00064A61"/>
    <w:rsid w:val="00066013"/>
    <w:rsid w:val="000678D5"/>
    <w:rsid w:val="000728E0"/>
    <w:rsid w:val="0007390E"/>
    <w:rsid w:val="0008409F"/>
    <w:rsid w:val="00086538"/>
    <w:rsid w:val="0008783B"/>
    <w:rsid w:val="00087CFE"/>
    <w:rsid w:val="0009440F"/>
    <w:rsid w:val="00094FC4"/>
    <w:rsid w:val="000A0CBC"/>
    <w:rsid w:val="000A7995"/>
    <w:rsid w:val="000B0B49"/>
    <w:rsid w:val="000B150B"/>
    <w:rsid w:val="000B4563"/>
    <w:rsid w:val="000B77CD"/>
    <w:rsid w:val="000C0F06"/>
    <w:rsid w:val="000C103D"/>
    <w:rsid w:val="000C3FED"/>
    <w:rsid w:val="000C44EB"/>
    <w:rsid w:val="000C55DA"/>
    <w:rsid w:val="000D41CD"/>
    <w:rsid w:val="000D5AC8"/>
    <w:rsid w:val="000D5EAC"/>
    <w:rsid w:val="000D60AF"/>
    <w:rsid w:val="000E790C"/>
    <w:rsid w:val="000F1E19"/>
    <w:rsid w:val="000F2A73"/>
    <w:rsid w:val="000F7373"/>
    <w:rsid w:val="001053EF"/>
    <w:rsid w:val="00112BB8"/>
    <w:rsid w:val="00114615"/>
    <w:rsid w:val="00121991"/>
    <w:rsid w:val="00121B8F"/>
    <w:rsid w:val="0012265F"/>
    <w:rsid w:val="00124A38"/>
    <w:rsid w:val="001260E1"/>
    <w:rsid w:val="001308E2"/>
    <w:rsid w:val="00131CED"/>
    <w:rsid w:val="00131F0F"/>
    <w:rsid w:val="00132659"/>
    <w:rsid w:val="00141919"/>
    <w:rsid w:val="001510DE"/>
    <w:rsid w:val="00164559"/>
    <w:rsid w:val="0016503A"/>
    <w:rsid w:val="00172F9E"/>
    <w:rsid w:val="001775EE"/>
    <w:rsid w:val="0018145E"/>
    <w:rsid w:val="00186F29"/>
    <w:rsid w:val="0019566B"/>
    <w:rsid w:val="001A2D2F"/>
    <w:rsid w:val="001A2EBB"/>
    <w:rsid w:val="001A5551"/>
    <w:rsid w:val="001A5B63"/>
    <w:rsid w:val="001A731D"/>
    <w:rsid w:val="001B1A33"/>
    <w:rsid w:val="001B28FD"/>
    <w:rsid w:val="001C1396"/>
    <w:rsid w:val="001C2250"/>
    <w:rsid w:val="001C4DE4"/>
    <w:rsid w:val="001C5819"/>
    <w:rsid w:val="001C6C5E"/>
    <w:rsid w:val="001C6CF3"/>
    <w:rsid w:val="001C74FC"/>
    <w:rsid w:val="001D25B7"/>
    <w:rsid w:val="001D6BE1"/>
    <w:rsid w:val="001E0F84"/>
    <w:rsid w:val="001E128A"/>
    <w:rsid w:val="001E20C7"/>
    <w:rsid w:val="001E2C77"/>
    <w:rsid w:val="001E3419"/>
    <w:rsid w:val="001E3E58"/>
    <w:rsid w:val="001E4B80"/>
    <w:rsid w:val="001E547E"/>
    <w:rsid w:val="001E5D1D"/>
    <w:rsid w:val="001E5D7F"/>
    <w:rsid w:val="001E69FF"/>
    <w:rsid w:val="001F02DD"/>
    <w:rsid w:val="001F2760"/>
    <w:rsid w:val="001F6D55"/>
    <w:rsid w:val="002045B4"/>
    <w:rsid w:val="00216AFA"/>
    <w:rsid w:val="002206D4"/>
    <w:rsid w:val="0022221E"/>
    <w:rsid w:val="002345BD"/>
    <w:rsid w:val="00235683"/>
    <w:rsid w:val="002359E5"/>
    <w:rsid w:val="00243141"/>
    <w:rsid w:val="00247536"/>
    <w:rsid w:val="002512C5"/>
    <w:rsid w:val="00256482"/>
    <w:rsid w:val="00261E72"/>
    <w:rsid w:val="002648E4"/>
    <w:rsid w:val="00264EF2"/>
    <w:rsid w:val="00270AE2"/>
    <w:rsid w:val="00276B3E"/>
    <w:rsid w:val="00277481"/>
    <w:rsid w:val="00285425"/>
    <w:rsid w:val="00286EAD"/>
    <w:rsid w:val="00286FFA"/>
    <w:rsid w:val="002904DD"/>
    <w:rsid w:val="00292FC0"/>
    <w:rsid w:val="00297A93"/>
    <w:rsid w:val="002A1123"/>
    <w:rsid w:val="002A79DA"/>
    <w:rsid w:val="002B1B00"/>
    <w:rsid w:val="002B5710"/>
    <w:rsid w:val="002B5B92"/>
    <w:rsid w:val="002C05FC"/>
    <w:rsid w:val="002C134A"/>
    <w:rsid w:val="002C3C82"/>
    <w:rsid w:val="002C5958"/>
    <w:rsid w:val="002D0A26"/>
    <w:rsid w:val="002D5E49"/>
    <w:rsid w:val="002D6359"/>
    <w:rsid w:val="002E1D40"/>
    <w:rsid w:val="002E42D2"/>
    <w:rsid w:val="002F1933"/>
    <w:rsid w:val="002F1E93"/>
    <w:rsid w:val="002F733A"/>
    <w:rsid w:val="00306799"/>
    <w:rsid w:val="003107CB"/>
    <w:rsid w:val="003116D5"/>
    <w:rsid w:val="0031428F"/>
    <w:rsid w:val="00314D05"/>
    <w:rsid w:val="003175DF"/>
    <w:rsid w:val="0032141A"/>
    <w:rsid w:val="00331349"/>
    <w:rsid w:val="00335461"/>
    <w:rsid w:val="0033691B"/>
    <w:rsid w:val="003444A6"/>
    <w:rsid w:val="00347372"/>
    <w:rsid w:val="0035386E"/>
    <w:rsid w:val="00357DC7"/>
    <w:rsid w:val="003625D8"/>
    <w:rsid w:val="00366694"/>
    <w:rsid w:val="00374615"/>
    <w:rsid w:val="0037539F"/>
    <w:rsid w:val="00375466"/>
    <w:rsid w:val="0037614E"/>
    <w:rsid w:val="00376D41"/>
    <w:rsid w:val="00393D5F"/>
    <w:rsid w:val="00395780"/>
    <w:rsid w:val="00396E20"/>
    <w:rsid w:val="003A1378"/>
    <w:rsid w:val="003A3094"/>
    <w:rsid w:val="003A6507"/>
    <w:rsid w:val="003B14D7"/>
    <w:rsid w:val="003B57C8"/>
    <w:rsid w:val="003B5A14"/>
    <w:rsid w:val="003C5469"/>
    <w:rsid w:val="003C5FFF"/>
    <w:rsid w:val="003D2A49"/>
    <w:rsid w:val="003D37E1"/>
    <w:rsid w:val="003D5B52"/>
    <w:rsid w:val="003D62F0"/>
    <w:rsid w:val="003E14F8"/>
    <w:rsid w:val="003E3D40"/>
    <w:rsid w:val="003E44BD"/>
    <w:rsid w:val="003E55EF"/>
    <w:rsid w:val="003E59BB"/>
    <w:rsid w:val="003F0DC9"/>
    <w:rsid w:val="003F3E11"/>
    <w:rsid w:val="00403CBD"/>
    <w:rsid w:val="004045BC"/>
    <w:rsid w:val="00407286"/>
    <w:rsid w:val="00407DBC"/>
    <w:rsid w:val="004119C3"/>
    <w:rsid w:val="00412883"/>
    <w:rsid w:val="004138E7"/>
    <w:rsid w:val="00414234"/>
    <w:rsid w:val="00415AE9"/>
    <w:rsid w:val="00416ABB"/>
    <w:rsid w:val="0042162D"/>
    <w:rsid w:val="0042227C"/>
    <w:rsid w:val="00424B02"/>
    <w:rsid w:val="00432970"/>
    <w:rsid w:val="00436764"/>
    <w:rsid w:val="004419CA"/>
    <w:rsid w:val="004443F9"/>
    <w:rsid w:val="0044573A"/>
    <w:rsid w:val="00447307"/>
    <w:rsid w:val="004504FA"/>
    <w:rsid w:val="00454BA7"/>
    <w:rsid w:val="00456F05"/>
    <w:rsid w:val="00464DBA"/>
    <w:rsid w:val="00466539"/>
    <w:rsid w:val="00467EC1"/>
    <w:rsid w:val="00471C2A"/>
    <w:rsid w:val="00477702"/>
    <w:rsid w:val="004824BE"/>
    <w:rsid w:val="004901D8"/>
    <w:rsid w:val="004945F1"/>
    <w:rsid w:val="00495F97"/>
    <w:rsid w:val="004A0C8B"/>
    <w:rsid w:val="004B281C"/>
    <w:rsid w:val="004B389F"/>
    <w:rsid w:val="004C04C6"/>
    <w:rsid w:val="004C0B54"/>
    <w:rsid w:val="004C42B7"/>
    <w:rsid w:val="004D2C02"/>
    <w:rsid w:val="004D4B76"/>
    <w:rsid w:val="004D78E7"/>
    <w:rsid w:val="004E1879"/>
    <w:rsid w:val="004E59E4"/>
    <w:rsid w:val="004F1581"/>
    <w:rsid w:val="004F1C5F"/>
    <w:rsid w:val="004F2666"/>
    <w:rsid w:val="004F594B"/>
    <w:rsid w:val="004F6AB0"/>
    <w:rsid w:val="00500045"/>
    <w:rsid w:val="005019FE"/>
    <w:rsid w:val="005071D6"/>
    <w:rsid w:val="005104B4"/>
    <w:rsid w:val="0051136D"/>
    <w:rsid w:val="00511481"/>
    <w:rsid w:val="005115BC"/>
    <w:rsid w:val="005117FB"/>
    <w:rsid w:val="00514734"/>
    <w:rsid w:val="00526FDB"/>
    <w:rsid w:val="00537381"/>
    <w:rsid w:val="0054277A"/>
    <w:rsid w:val="00546CAE"/>
    <w:rsid w:val="00551CEE"/>
    <w:rsid w:val="00554294"/>
    <w:rsid w:val="00555562"/>
    <w:rsid w:val="005611E3"/>
    <w:rsid w:val="0057103B"/>
    <w:rsid w:val="00572539"/>
    <w:rsid w:val="0057273D"/>
    <w:rsid w:val="00580ED3"/>
    <w:rsid w:val="00581CCF"/>
    <w:rsid w:val="00582D1E"/>
    <w:rsid w:val="005942B2"/>
    <w:rsid w:val="0059665C"/>
    <w:rsid w:val="005968D2"/>
    <w:rsid w:val="00597666"/>
    <w:rsid w:val="005A1430"/>
    <w:rsid w:val="005A2DD5"/>
    <w:rsid w:val="005B25CA"/>
    <w:rsid w:val="005B7E08"/>
    <w:rsid w:val="005C0F65"/>
    <w:rsid w:val="005C23D4"/>
    <w:rsid w:val="005C542C"/>
    <w:rsid w:val="005C64E3"/>
    <w:rsid w:val="005D0C9C"/>
    <w:rsid w:val="005D1E56"/>
    <w:rsid w:val="005D300C"/>
    <w:rsid w:val="005D3628"/>
    <w:rsid w:val="005E110E"/>
    <w:rsid w:val="005E1F37"/>
    <w:rsid w:val="005E3D2E"/>
    <w:rsid w:val="005F11F1"/>
    <w:rsid w:val="005F1FF3"/>
    <w:rsid w:val="005F5786"/>
    <w:rsid w:val="005F67A7"/>
    <w:rsid w:val="006065EA"/>
    <w:rsid w:val="00610132"/>
    <w:rsid w:val="00620349"/>
    <w:rsid w:val="006220B2"/>
    <w:rsid w:val="00625CF0"/>
    <w:rsid w:val="00633CEC"/>
    <w:rsid w:val="006351F3"/>
    <w:rsid w:val="00636B0B"/>
    <w:rsid w:val="00637337"/>
    <w:rsid w:val="006404E4"/>
    <w:rsid w:val="00642DA2"/>
    <w:rsid w:val="00643DB5"/>
    <w:rsid w:val="00643F5E"/>
    <w:rsid w:val="0064491E"/>
    <w:rsid w:val="006453D4"/>
    <w:rsid w:val="00646D25"/>
    <w:rsid w:val="0065019F"/>
    <w:rsid w:val="006531C2"/>
    <w:rsid w:val="006545ED"/>
    <w:rsid w:val="00654764"/>
    <w:rsid w:val="00655FF1"/>
    <w:rsid w:val="0066052A"/>
    <w:rsid w:val="006619B5"/>
    <w:rsid w:val="006701A9"/>
    <w:rsid w:val="00672ED4"/>
    <w:rsid w:val="00676F7E"/>
    <w:rsid w:val="00683D1F"/>
    <w:rsid w:val="00690C84"/>
    <w:rsid w:val="00691CAE"/>
    <w:rsid w:val="0069242B"/>
    <w:rsid w:val="00693A0D"/>
    <w:rsid w:val="00693F08"/>
    <w:rsid w:val="00697133"/>
    <w:rsid w:val="006A3579"/>
    <w:rsid w:val="006A39AC"/>
    <w:rsid w:val="006A6904"/>
    <w:rsid w:val="006B3196"/>
    <w:rsid w:val="006B3785"/>
    <w:rsid w:val="006B3B14"/>
    <w:rsid w:val="006B623F"/>
    <w:rsid w:val="006C3B44"/>
    <w:rsid w:val="006D3AAC"/>
    <w:rsid w:val="006E411F"/>
    <w:rsid w:val="006E478C"/>
    <w:rsid w:val="006E7470"/>
    <w:rsid w:val="006E76C6"/>
    <w:rsid w:val="006F0A62"/>
    <w:rsid w:val="006F13F3"/>
    <w:rsid w:val="006F2E69"/>
    <w:rsid w:val="006F3B1B"/>
    <w:rsid w:val="006F7090"/>
    <w:rsid w:val="007052A3"/>
    <w:rsid w:val="00706485"/>
    <w:rsid w:val="00706A5D"/>
    <w:rsid w:val="00711F71"/>
    <w:rsid w:val="007126F8"/>
    <w:rsid w:val="00716A05"/>
    <w:rsid w:val="00724158"/>
    <w:rsid w:val="0073038C"/>
    <w:rsid w:val="0073277F"/>
    <w:rsid w:val="00733923"/>
    <w:rsid w:val="00733EE6"/>
    <w:rsid w:val="00734600"/>
    <w:rsid w:val="00736200"/>
    <w:rsid w:val="00744311"/>
    <w:rsid w:val="00744E22"/>
    <w:rsid w:val="00745751"/>
    <w:rsid w:val="007466DF"/>
    <w:rsid w:val="00747E8F"/>
    <w:rsid w:val="007503DC"/>
    <w:rsid w:val="00753BF6"/>
    <w:rsid w:val="00762E29"/>
    <w:rsid w:val="00764607"/>
    <w:rsid w:val="0076469B"/>
    <w:rsid w:val="00767E72"/>
    <w:rsid w:val="00770EDA"/>
    <w:rsid w:val="0077109E"/>
    <w:rsid w:val="0077577E"/>
    <w:rsid w:val="00781048"/>
    <w:rsid w:val="00781933"/>
    <w:rsid w:val="007969D9"/>
    <w:rsid w:val="00796D0D"/>
    <w:rsid w:val="007A103C"/>
    <w:rsid w:val="007A6288"/>
    <w:rsid w:val="007A6645"/>
    <w:rsid w:val="007A699A"/>
    <w:rsid w:val="007A6D8A"/>
    <w:rsid w:val="007B2644"/>
    <w:rsid w:val="007B3B1E"/>
    <w:rsid w:val="007B3FE4"/>
    <w:rsid w:val="007B453D"/>
    <w:rsid w:val="007B5747"/>
    <w:rsid w:val="007C215C"/>
    <w:rsid w:val="007C4CCE"/>
    <w:rsid w:val="007D57D7"/>
    <w:rsid w:val="007D7D62"/>
    <w:rsid w:val="007E0471"/>
    <w:rsid w:val="007E4745"/>
    <w:rsid w:val="007E5AD4"/>
    <w:rsid w:val="007E5D80"/>
    <w:rsid w:val="007E6573"/>
    <w:rsid w:val="007F5664"/>
    <w:rsid w:val="007F71F9"/>
    <w:rsid w:val="00800575"/>
    <w:rsid w:val="00802907"/>
    <w:rsid w:val="008059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21A3"/>
    <w:rsid w:val="00863C9B"/>
    <w:rsid w:val="00864279"/>
    <w:rsid w:val="0086475C"/>
    <w:rsid w:val="00866990"/>
    <w:rsid w:val="00871A3F"/>
    <w:rsid w:val="008720B3"/>
    <w:rsid w:val="008848AD"/>
    <w:rsid w:val="008856F9"/>
    <w:rsid w:val="008859A0"/>
    <w:rsid w:val="00887D74"/>
    <w:rsid w:val="00891EDE"/>
    <w:rsid w:val="00892735"/>
    <w:rsid w:val="00893B1C"/>
    <w:rsid w:val="00894690"/>
    <w:rsid w:val="008A241A"/>
    <w:rsid w:val="008B080B"/>
    <w:rsid w:val="008B21C4"/>
    <w:rsid w:val="008C219B"/>
    <w:rsid w:val="008C255E"/>
    <w:rsid w:val="008C4B24"/>
    <w:rsid w:val="008D02F0"/>
    <w:rsid w:val="008D409F"/>
    <w:rsid w:val="008D6C23"/>
    <w:rsid w:val="008E053C"/>
    <w:rsid w:val="008E1AB5"/>
    <w:rsid w:val="008E3565"/>
    <w:rsid w:val="008E4691"/>
    <w:rsid w:val="008F245A"/>
    <w:rsid w:val="008F708D"/>
    <w:rsid w:val="00902FF5"/>
    <w:rsid w:val="00906A19"/>
    <w:rsid w:val="00906D50"/>
    <w:rsid w:val="00910FD4"/>
    <w:rsid w:val="009142E5"/>
    <w:rsid w:val="00914375"/>
    <w:rsid w:val="009179FF"/>
    <w:rsid w:val="0092093D"/>
    <w:rsid w:val="00922ABB"/>
    <w:rsid w:val="0093137C"/>
    <w:rsid w:val="0093313C"/>
    <w:rsid w:val="009401EA"/>
    <w:rsid w:val="0094463C"/>
    <w:rsid w:val="00946318"/>
    <w:rsid w:val="00950864"/>
    <w:rsid w:val="00950F40"/>
    <w:rsid w:val="00952102"/>
    <w:rsid w:val="00954182"/>
    <w:rsid w:val="00960A98"/>
    <w:rsid w:val="00961FA8"/>
    <w:rsid w:val="0097077C"/>
    <w:rsid w:val="00970D2F"/>
    <w:rsid w:val="009740B4"/>
    <w:rsid w:val="00974CB1"/>
    <w:rsid w:val="00976B85"/>
    <w:rsid w:val="00982775"/>
    <w:rsid w:val="00985303"/>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C2F64"/>
    <w:rsid w:val="009D1DF3"/>
    <w:rsid w:val="009E14D0"/>
    <w:rsid w:val="009E3228"/>
    <w:rsid w:val="009E43D5"/>
    <w:rsid w:val="009E609F"/>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AF8"/>
    <w:rsid w:val="00A46EA3"/>
    <w:rsid w:val="00A5545D"/>
    <w:rsid w:val="00A565B7"/>
    <w:rsid w:val="00A62A77"/>
    <w:rsid w:val="00A65F68"/>
    <w:rsid w:val="00A73389"/>
    <w:rsid w:val="00A73AC6"/>
    <w:rsid w:val="00A80857"/>
    <w:rsid w:val="00A87746"/>
    <w:rsid w:val="00A9007E"/>
    <w:rsid w:val="00A93D19"/>
    <w:rsid w:val="00AA06CE"/>
    <w:rsid w:val="00AA198C"/>
    <w:rsid w:val="00AA5DB0"/>
    <w:rsid w:val="00AB1414"/>
    <w:rsid w:val="00AB5E4B"/>
    <w:rsid w:val="00AB7D79"/>
    <w:rsid w:val="00AC1952"/>
    <w:rsid w:val="00AC42CB"/>
    <w:rsid w:val="00AC52AE"/>
    <w:rsid w:val="00AC57FB"/>
    <w:rsid w:val="00AC6946"/>
    <w:rsid w:val="00AD3266"/>
    <w:rsid w:val="00AD5069"/>
    <w:rsid w:val="00AD5D6D"/>
    <w:rsid w:val="00AD5EDD"/>
    <w:rsid w:val="00AD5EE0"/>
    <w:rsid w:val="00AD6E64"/>
    <w:rsid w:val="00AE3010"/>
    <w:rsid w:val="00AE3F88"/>
    <w:rsid w:val="00AE4FD0"/>
    <w:rsid w:val="00AF07FB"/>
    <w:rsid w:val="00AF2B57"/>
    <w:rsid w:val="00AF4C0B"/>
    <w:rsid w:val="00B123F5"/>
    <w:rsid w:val="00B1494D"/>
    <w:rsid w:val="00B14FEF"/>
    <w:rsid w:val="00B15DF0"/>
    <w:rsid w:val="00B21CAB"/>
    <w:rsid w:val="00B21E1D"/>
    <w:rsid w:val="00B226E7"/>
    <w:rsid w:val="00B312EF"/>
    <w:rsid w:val="00B31AD4"/>
    <w:rsid w:val="00B332D7"/>
    <w:rsid w:val="00B35597"/>
    <w:rsid w:val="00B447A7"/>
    <w:rsid w:val="00B45D18"/>
    <w:rsid w:val="00B51388"/>
    <w:rsid w:val="00B52542"/>
    <w:rsid w:val="00B54749"/>
    <w:rsid w:val="00B64483"/>
    <w:rsid w:val="00B6565D"/>
    <w:rsid w:val="00B709A4"/>
    <w:rsid w:val="00B715D2"/>
    <w:rsid w:val="00B74014"/>
    <w:rsid w:val="00B74B8A"/>
    <w:rsid w:val="00B76EC6"/>
    <w:rsid w:val="00B802BB"/>
    <w:rsid w:val="00B82454"/>
    <w:rsid w:val="00B83D50"/>
    <w:rsid w:val="00B95C0A"/>
    <w:rsid w:val="00B9752A"/>
    <w:rsid w:val="00BA1EBE"/>
    <w:rsid w:val="00BA3B8B"/>
    <w:rsid w:val="00BA7440"/>
    <w:rsid w:val="00BA76E3"/>
    <w:rsid w:val="00BB1024"/>
    <w:rsid w:val="00BB15C2"/>
    <w:rsid w:val="00BB66F6"/>
    <w:rsid w:val="00BC1461"/>
    <w:rsid w:val="00BC5AC8"/>
    <w:rsid w:val="00BC620E"/>
    <w:rsid w:val="00BC75D2"/>
    <w:rsid w:val="00BD7B99"/>
    <w:rsid w:val="00BD7FCE"/>
    <w:rsid w:val="00BE6C5B"/>
    <w:rsid w:val="00BF02E7"/>
    <w:rsid w:val="00BF5FF8"/>
    <w:rsid w:val="00BF6DB2"/>
    <w:rsid w:val="00BF6F91"/>
    <w:rsid w:val="00BF7572"/>
    <w:rsid w:val="00BF7937"/>
    <w:rsid w:val="00C109C3"/>
    <w:rsid w:val="00C10AEC"/>
    <w:rsid w:val="00C15AEE"/>
    <w:rsid w:val="00C16652"/>
    <w:rsid w:val="00C16FEC"/>
    <w:rsid w:val="00C2035B"/>
    <w:rsid w:val="00C23E46"/>
    <w:rsid w:val="00C25610"/>
    <w:rsid w:val="00C34DFF"/>
    <w:rsid w:val="00C354A8"/>
    <w:rsid w:val="00C453A5"/>
    <w:rsid w:val="00C45D17"/>
    <w:rsid w:val="00C4614C"/>
    <w:rsid w:val="00C50704"/>
    <w:rsid w:val="00C53ED1"/>
    <w:rsid w:val="00C575E2"/>
    <w:rsid w:val="00C57F44"/>
    <w:rsid w:val="00C637CF"/>
    <w:rsid w:val="00C72B3E"/>
    <w:rsid w:val="00C83E94"/>
    <w:rsid w:val="00C84CFA"/>
    <w:rsid w:val="00C84EB3"/>
    <w:rsid w:val="00C85666"/>
    <w:rsid w:val="00C85BDA"/>
    <w:rsid w:val="00C86F4D"/>
    <w:rsid w:val="00C9156B"/>
    <w:rsid w:val="00CA0B67"/>
    <w:rsid w:val="00CA20F8"/>
    <w:rsid w:val="00CA5FA6"/>
    <w:rsid w:val="00CB6A2E"/>
    <w:rsid w:val="00CC0122"/>
    <w:rsid w:val="00CC0DAF"/>
    <w:rsid w:val="00CC20A0"/>
    <w:rsid w:val="00CC37AD"/>
    <w:rsid w:val="00CC4DD6"/>
    <w:rsid w:val="00CC4E02"/>
    <w:rsid w:val="00CD2C00"/>
    <w:rsid w:val="00CD41CD"/>
    <w:rsid w:val="00CD5D51"/>
    <w:rsid w:val="00CE1868"/>
    <w:rsid w:val="00CE27DC"/>
    <w:rsid w:val="00CE47CE"/>
    <w:rsid w:val="00CE51BA"/>
    <w:rsid w:val="00CF1B46"/>
    <w:rsid w:val="00CF4D51"/>
    <w:rsid w:val="00CF614D"/>
    <w:rsid w:val="00CF6903"/>
    <w:rsid w:val="00D0020F"/>
    <w:rsid w:val="00D032A7"/>
    <w:rsid w:val="00D04AC3"/>
    <w:rsid w:val="00D07036"/>
    <w:rsid w:val="00D1407C"/>
    <w:rsid w:val="00D14C8E"/>
    <w:rsid w:val="00D245D5"/>
    <w:rsid w:val="00D24AAC"/>
    <w:rsid w:val="00D305DD"/>
    <w:rsid w:val="00D332FD"/>
    <w:rsid w:val="00D4017A"/>
    <w:rsid w:val="00D409EF"/>
    <w:rsid w:val="00D40DA6"/>
    <w:rsid w:val="00D41691"/>
    <w:rsid w:val="00D424C2"/>
    <w:rsid w:val="00D42763"/>
    <w:rsid w:val="00D43377"/>
    <w:rsid w:val="00D4396A"/>
    <w:rsid w:val="00D44320"/>
    <w:rsid w:val="00D46250"/>
    <w:rsid w:val="00D52A17"/>
    <w:rsid w:val="00D531A2"/>
    <w:rsid w:val="00D61A9C"/>
    <w:rsid w:val="00D626CC"/>
    <w:rsid w:val="00D7084B"/>
    <w:rsid w:val="00D71284"/>
    <w:rsid w:val="00D7269F"/>
    <w:rsid w:val="00D77283"/>
    <w:rsid w:val="00D7791F"/>
    <w:rsid w:val="00D83D64"/>
    <w:rsid w:val="00DA14AE"/>
    <w:rsid w:val="00DA56BE"/>
    <w:rsid w:val="00DA69B1"/>
    <w:rsid w:val="00DA6DE1"/>
    <w:rsid w:val="00DB06A5"/>
    <w:rsid w:val="00DB2820"/>
    <w:rsid w:val="00DB2D68"/>
    <w:rsid w:val="00DB51B3"/>
    <w:rsid w:val="00DB7748"/>
    <w:rsid w:val="00DC0C10"/>
    <w:rsid w:val="00DC4669"/>
    <w:rsid w:val="00DD023E"/>
    <w:rsid w:val="00DD6581"/>
    <w:rsid w:val="00DD7B19"/>
    <w:rsid w:val="00DE148E"/>
    <w:rsid w:val="00DE1B5F"/>
    <w:rsid w:val="00DE4216"/>
    <w:rsid w:val="00DF0E19"/>
    <w:rsid w:val="00DF1B4E"/>
    <w:rsid w:val="00DF48D3"/>
    <w:rsid w:val="00DF5503"/>
    <w:rsid w:val="00E0064A"/>
    <w:rsid w:val="00E0177C"/>
    <w:rsid w:val="00E021CE"/>
    <w:rsid w:val="00E060F5"/>
    <w:rsid w:val="00E066DB"/>
    <w:rsid w:val="00E069DD"/>
    <w:rsid w:val="00E10795"/>
    <w:rsid w:val="00E145D0"/>
    <w:rsid w:val="00E14BA1"/>
    <w:rsid w:val="00E17500"/>
    <w:rsid w:val="00E26E50"/>
    <w:rsid w:val="00E32361"/>
    <w:rsid w:val="00E32EB0"/>
    <w:rsid w:val="00E36FA7"/>
    <w:rsid w:val="00E428BA"/>
    <w:rsid w:val="00E43EDF"/>
    <w:rsid w:val="00E508A5"/>
    <w:rsid w:val="00E5142D"/>
    <w:rsid w:val="00E51A41"/>
    <w:rsid w:val="00E55B39"/>
    <w:rsid w:val="00E56A91"/>
    <w:rsid w:val="00E57CF3"/>
    <w:rsid w:val="00E64585"/>
    <w:rsid w:val="00E6755C"/>
    <w:rsid w:val="00E726B6"/>
    <w:rsid w:val="00E726CC"/>
    <w:rsid w:val="00E72D76"/>
    <w:rsid w:val="00E7394B"/>
    <w:rsid w:val="00E73B1A"/>
    <w:rsid w:val="00E75455"/>
    <w:rsid w:val="00E807A7"/>
    <w:rsid w:val="00E81773"/>
    <w:rsid w:val="00E8405D"/>
    <w:rsid w:val="00E84AD1"/>
    <w:rsid w:val="00E879D4"/>
    <w:rsid w:val="00E91879"/>
    <w:rsid w:val="00E97051"/>
    <w:rsid w:val="00EA00C5"/>
    <w:rsid w:val="00EA108B"/>
    <w:rsid w:val="00EA2304"/>
    <w:rsid w:val="00EA5932"/>
    <w:rsid w:val="00EA73B5"/>
    <w:rsid w:val="00EA7C9E"/>
    <w:rsid w:val="00EB0177"/>
    <w:rsid w:val="00EB025D"/>
    <w:rsid w:val="00EB0736"/>
    <w:rsid w:val="00EB145A"/>
    <w:rsid w:val="00EB73A7"/>
    <w:rsid w:val="00EC0E91"/>
    <w:rsid w:val="00EC1544"/>
    <w:rsid w:val="00EC4488"/>
    <w:rsid w:val="00EC4E4B"/>
    <w:rsid w:val="00EC7D90"/>
    <w:rsid w:val="00ED0838"/>
    <w:rsid w:val="00ED2109"/>
    <w:rsid w:val="00ED5755"/>
    <w:rsid w:val="00ED71EE"/>
    <w:rsid w:val="00EE3200"/>
    <w:rsid w:val="00EF2709"/>
    <w:rsid w:val="00EF2FA8"/>
    <w:rsid w:val="00EF33F2"/>
    <w:rsid w:val="00EF67B9"/>
    <w:rsid w:val="00F00F3E"/>
    <w:rsid w:val="00F01372"/>
    <w:rsid w:val="00F06EBE"/>
    <w:rsid w:val="00F07235"/>
    <w:rsid w:val="00F131FF"/>
    <w:rsid w:val="00F1507F"/>
    <w:rsid w:val="00F16DA5"/>
    <w:rsid w:val="00F17756"/>
    <w:rsid w:val="00F20FFC"/>
    <w:rsid w:val="00F21C84"/>
    <w:rsid w:val="00F246BA"/>
    <w:rsid w:val="00F30D9B"/>
    <w:rsid w:val="00F357DF"/>
    <w:rsid w:val="00F36CE9"/>
    <w:rsid w:val="00F372AE"/>
    <w:rsid w:val="00F375EA"/>
    <w:rsid w:val="00F40C7C"/>
    <w:rsid w:val="00F41ADF"/>
    <w:rsid w:val="00F478A6"/>
    <w:rsid w:val="00F50185"/>
    <w:rsid w:val="00F52E28"/>
    <w:rsid w:val="00F53784"/>
    <w:rsid w:val="00F553AE"/>
    <w:rsid w:val="00F559BC"/>
    <w:rsid w:val="00F564CF"/>
    <w:rsid w:val="00F5759B"/>
    <w:rsid w:val="00F6507B"/>
    <w:rsid w:val="00F67571"/>
    <w:rsid w:val="00F72A91"/>
    <w:rsid w:val="00F72D1E"/>
    <w:rsid w:val="00F80684"/>
    <w:rsid w:val="00F868AE"/>
    <w:rsid w:val="00F90E7B"/>
    <w:rsid w:val="00F92D64"/>
    <w:rsid w:val="00F93C10"/>
    <w:rsid w:val="00F94E8B"/>
    <w:rsid w:val="00FA4035"/>
    <w:rsid w:val="00FB12AD"/>
    <w:rsid w:val="00FB6916"/>
    <w:rsid w:val="00FC477B"/>
    <w:rsid w:val="00FD339F"/>
    <w:rsid w:val="00FD34C3"/>
    <w:rsid w:val="00FD726B"/>
    <w:rsid w:val="00FE2E70"/>
    <w:rsid w:val="00FE6788"/>
    <w:rsid w:val="00FF4012"/>
    <w:rsid w:val="00FF4E27"/>
    <w:rsid w:val="00FF7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4987-A044-4B99-8469-57C07E1C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uiPriority w:val="99"/>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uiPriority w:val="99"/>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rsid w:val="00825657"/>
    <w:rPr>
      <w:rFonts w:ascii="Times New Roman" w:hAnsi="Times New Roman" w:cs="Times New Roman"/>
      <w:sz w:val="20"/>
      <w:szCs w:val="20"/>
    </w:rPr>
  </w:style>
  <w:style w:type="character" w:styleId="Appelnotedebasdep">
    <w:name w:val="footnote reference"/>
    <w:basedOn w:val="Policepardfaut"/>
    <w:uiPriority w:val="99"/>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7"/>
      </w:numPr>
    </w:pPr>
  </w:style>
  <w:style w:type="character" w:customStyle="1" w:styleId="textexposedshow">
    <w:name w:val="text_exposed_show"/>
    <w:basedOn w:val="Policepardfaut"/>
    <w:rsid w:val="001E128A"/>
  </w:style>
  <w:style w:type="paragraph" w:customStyle="1" w:styleId="-LettreDestinataireGEDA">
    <w:name w:val="- Lettre:Destinataire    GEDA"/>
    <w:basedOn w:val="Normal"/>
    <w:next w:val="Normal"/>
    <w:rsid w:val="00C15AEE"/>
    <w:pPr>
      <w:overflowPunct w:val="0"/>
      <w:autoSpaceDE w:val="0"/>
      <w:autoSpaceDN w:val="0"/>
      <w:adjustRightInd w:val="0"/>
      <w:spacing w:before="360"/>
      <w:jc w:val="center"/>
    </w:pPr>
    <w:rPr>
      <w:b/>
      <w:noProof/>
      <w:szCs w:val="20"/>
      <w:lang w:eastAsia="fr-FR"/>
    </w:rPr>
  </w:style>
  <w:style w:type="paragraph" w:customStyle="1" w:styleId="-LettreAffairesuivieGEDA">
    <w:name w:val="- Lettre:Affaire suivie                GEDA"/>
    <w:rsid w:val="001E547E"/>
    <w:pPr>
      <w:numPr>
        <w:numId w:val="14"/>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 w:type="paragraph" w:customStyle="1" w:styleId="alinea">
    <w:name w:val="alinea"/>
    <w:basedOn w:val="Normal"/>
    <w:rsid w:val="00E726B6"/>
    <w:pPr>
      <w:spacing w:before="100" w:beforeAutospacing="1" w:after="100" w:afterAutospacing="1"/>
    </w:pPr>
    <w:rPr>
      <w:lang w:eastAsia="fr-FR"/>
    </w:rPr>
  </w:style>
  <w:style w:type="table" w:styleId="Grilledutableau">
    <w:name w:val="Table Grid"/>
    <w:basedOn w:val="TableauNormal"/>
    <w:uiPriority w:val="59"/>
    <w:rsid w:val="00C16FEC"/>
    <w:pPr>
      <w:spacing w:after="0" w:line="240" w:lineRule="auto"/>
    </w:pPr>
    <w:rPr>
      <w:rFonts w:ascii="Times New Roman" w:hAnsi="Times New Roman" w:cs="Times New Roman"/>
      <w:sz w:val="24"/>
      <w:szCs w:val="24"/>
      <w:u w:color="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27146237">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86000248">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39613454">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198006304">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57493491">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1035735">
      <w:bodyDiv w:val="1"/>
      <w:marLeft w:val="0"/>
      <w:marRight w:val="0"/>
      <w:marTop w:val="0"/>
      <w:marBottom w:val="0"/>
      <w:divBdr>
        <w:top w:val="none" w:sz="0" w:space="0" w:color="auto"/>
        <w:left w:val="none" w:sz="0" w:space="0" w:color="auto"/>
        <w:bottom w:val="none" w:sz="0" w:space="0" w:color="auto"/>
        <w:right w:val="none" w:sz="0" w:space="0" w:color="auto"/>
      </w:divBdr>
    </w:div>
    <w:div w:id="282543905">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362796">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15967715">
      <w:bodyDiv w:val="1"/>
      <w:marLeft w:val="0"/>
      <w:marRight w:val="0"/>
      <w:marTop w:val="0"/>
      <w:marBottom w:val="0"/>
      <w:divBdr>
        <w:top w:val="none" w:sz="0" w:space="0" w:color="auto"/>
        <w:left w:val="none" w:sz="0" w:space="0" w:color="auto"/>
        <w:bottom w:val="none" w:sz="0" w:space="0" w:color="auto"/>
        <w:right w:val="none" w:sz="0" w:space="0" w:color="auto"/>
      </w:divBdr>
    </w:div>
    <w:div w:id="516695557">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15255438">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5486137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44170095">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886641880">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70537379">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084106740">
      <w:bodyDiv w:val="1"/>
      <w:marLeft w:val="0"/>
      <w:marRight w:val="0"/>
      <w:marTop w:val="0"/>
      <w:marBottom w:val="0"/>
      <w:divBdr>
        <w:top w:val="none" w:sz="0" w:space="0" w:color="auto"/>
        <w:left w:val="none" w:sz="0" w:space="0" w:color="auto"/>
        <w:bottom w:val="none" w:sz="0" w:space="0" w:color="auto"/>
        <w:right w:val="none" w:sz="0" w:space="0" w:color="auto"/>
      </w:divBdr>
    </w:div>
    <w:div w:id="1137795900">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38124984">
      <w:bodyDiv w:val="1"/>
      <w:marLeft w:val="0"/>
      <w:marRight w:val="0"/>
      <w:marTop w:val="0"/>
      <w:marBottom w:val="0"/>
      <w:divBdr>
        <w:top w:val="none" w:sz="0" w:space="0" w:color="auto"/>
        <w:left w:val="none" w:sz="0" w:space="0" w:color="auto"/>
        <w:bottom w:val="none" w:sz="0" w:space="0" w:color="auto"/>
        <w:right w:val="none" w:sz="0" w:space="0" w:color="auto"/>
      </w:divBdr>
    </w:div>
    <w:div w:id="1242250885">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56269440">
      <w:bodyDiv w:val="1"/>
      <w:marLeft w:val="0"/>
      <w:marRight w:val="0"/>
      <w:marTop w:val="0"/>
      <w:marBottom w:val="0"/>
      <w:divBdr>
        <w:top w:val="none" w:sz="0" w:space="0" w:color="auto"/>
        <w:left w:val="none" w:sz="0" w:space="0" w:color="auto"/>
        <w:bottom w:val="none" w:sz="0" w:space="0" w:color="auto"/>
        <w:right w:val="none" w:sz="0" w:space="0" w:color="auto"/>
      </w:divBdr>
    </w:div>
    <w:div w:id="1364985160">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37081444">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6205794">
      <w:bodyDiv w:val="1"/>
      <w:marLeft w:val="0"/>
      <w:marRight w:val="0"/>
      <w:marTop w:val="0"/>
      <w:marBottom w:val="0"/>
      <w:divBdr>
        <w:top w:val="none" w:sz="0" w:space="0" w:color="auto"/>
        <w:left w:val="none" w:sz="0" w:space="0" w:color="auto"/>
        <w:bottom w:val="none" w:sz="0" w:space="0" w:color="auto"/>
        <w:right w:val="none" w:sz="0" w:space="0" w:color="auto"/>
      </w:divBdr>
    </w:div>
    <w:div w:id="1619482794">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37587376">
      <w:bodyDiv w:val="1"/>
      <w:marLeft w:val="0"/>
      <w:marRight w:val="0"/>
      <w:marTop w:val="0"/>
      <w:marBottom w:val="0"/>
      <w:divBdr>
        <w:top w:val="none" w:sz="0" w:space="0" w:color="auto"/>
        <w:left w:val="none" w:sz="0" w:space="0" w:color="auto"/>
        <w:bottom w:val="none" w:sz="0" w:space="0" w:color="auto"/>
        <w:right w:val="none" w:sz="0" w:space="0" w:color="auto"/>
      </w:divBdr>
    </w:div>
    <w:div w:id="1752506117">
      <w:bodyDiv w:val="1"/>
      <w:marLeft w:val="0"/>
      <w:marRight w:val="0"/>
      <w:marTop w:val="0"/>
      <w:marBottom w:val="0"/>
      <w:divBdr>
        <w:top w:val="none" w:sz="0" w:space="0" w:color="auto"/>
        <w:left w:val="none" w:sz="0" w:space="0" w:color="auto"/>
        <w:bottom w:val="none" w:sz="0" w:space="0" w:color="auto"/>
        <w:right w:val="none" w:sz="0" w:space="0" w:color="auto"/>
      </w:divBdr>
    </w:div>
    <w:div w:id="1754735670">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790203177">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24925955">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57766432">
      <w:bodyDiv w:val="1"/>
      <w:marLeft w:val="0"/>
      <w:marRight w:val="0"/>
      <w:marTop w:val="0"/>
      <w:marBottom w:val="0"/>
      <w:divBdr>
        <w:top w:val="none" w:sz="0" w:space="0" w:color="auto"/>
        <w:left w:val="none" w:sz="0" w:space="0" w:color="auto"/>
        <w:bottom w:val="none" w:sz="0" w:space="0" w:color="auto"/>
        <w:right w:val="none" w:sz="0" w:space="0" w:color="auto"/>
      </w:divBdr>
    </w:div>
    <w:div w:id="1867593754">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1577550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042773">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089647736">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A666E-94F5-433C-861B-FA287388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2941</Words>
  <Characters>16178</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10</cp:revision>
  <cp:lastPrinted>2019-12-03T18:24:00Z</cp:lastPrinted>
  <dcterms:created xsi:type="dcterms:W3CDTF">2020-08-12T03:51:00Z</dcterms:created>
  <dcterms:modified xsi:type="dcterms:W3CDTF">2020-08-13T00:44:00Z</dcterms:modified>
</cp:coreProperties>
</file>