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06265" w14:textId="77777777" w:rsidR="00CE47CE" w:rsidRPr="00693F08" w:rsidRDefault="00CE47CE" w:rsidP="00CE47CE">
      <w:pPr>
        <w:pStyle w:val="Sansinterligne"/>
        <w:rPr>
          <w:rFonts w:asciiTheme="majorHAnsi" w:hAnsiTheme="majorHAnsi"/>
          <w:lang w:eastAsia="fr-FR"/>
        </w:rPr>
      </w:pPr>
      <w:r w:rsidRPr="00693F08">
        <w:rPr>
          <w:rFonts w:asciiTheme="majorHAnsi" w:hAnsiTheme="majorHAnsi"/>
          <w:noProof/>
          <w:lang w:eastAsia="fr-FR"/>
        </w:rPr>
        <w:drawing>
          <wp:anchor distT="0" distB="0" distL="114300" distR="114300" simplePos="0" relativeHeight="251659264" behindDoc="1" locked="0" layoutInCell="1" allowOverlap="1" wp14:anchorId="79385D0B" wp14:editId="025659D9">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8">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693F08">
        <w:rPr>
          <w:rFonts w:asciiTheme="majorHAnsi" w:hAnsiTheme="majorHAnsi"/>
          <w:noProof/>
          <w:lang w:eastAsia="fr-FR"/>
        </w:rPr>
        <mc:AlternateContent>
          <mc:Choice Requires="wps">
            <w:drawing>
              <wp:anchor distT="45720" distB="45720" distL="114300" distR="114300" simplePos="0" relativeHeight="251660288" behindDoc="0" locked="0" layoutInCell="1" allowOverlap="1" wp14:anchorId="45C18E35" wp14:editId="2D795FD3">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1A74E25C" w14:textId="77777777"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14:paraId="111C9687" w14:textId="77777777"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18E35"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14:paraId="1A74E25C" w14:textId="77777777"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14:paraId="111C9687" w14:textId="77777777"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Pr="00693F08">
        <w:rPr>
          <w:rFonts w:asciiTheme="majorHAnsi" w:hAnsiTheme="majorHAnsi"/>
          <w:lang w:eastAsia="fr-FR"/>
        </w:rPr>
        <w:tab/>
        <w:t xml:space="preserve">      </w:t>
      </w:r>
    </w:p>
    <w:p w14:paraId="019B7D82" w14:textId="77777777" w:rsidR="00CE47CE" w:rsidRPr="00693F08" w:rsidRDefault="00CE47CE" w:rsidP="00CE47CE">
      <w:pPr>
        <w:jc w:val="center"/>
        <w:rPr>
          <w:rFonts w:asciiTheme="majorHAnsi" w:hAnsiTheme="majorHAnsi"/>
          <w:color w:val="993366"/>
        </w:rPr>
      </w:pPr>
    </w:p>
    <w:p w14:paraId="452A9C46" w14:textId="77777777" w:rsidR="00CE47CE" w:rsidRPr="00693F08" w:rsidRDefault="00CE47CE" w:rsidP="00CE47CE">
      <w:pPr>
        <w:rPr>
          <w:rFonts w:asciiTheme="majorHAnsi" w:hAnsiTheme="majorHAnsi"/>
          <w:color w:val="993366"/>
        </w:rPr>
      </w:pPr>
    </w:p>
    <w:p w14:paraId="0EB9FE2E" w14:textId="77777777" w:rsidR="00CE47CE" w:rsidRPr="00693F08" w:rsidRDefault="00CE47CE" w:rsidP="00CE47CE">
      <w:pPr>
        <w:rPr>
          <w:rFonts w:asciiTheme="majorHAnsi" w:hAnsiTheme="majorHAnsi"/>
          <w:color w:val="993366"/>
        </w:rPr>
      </w:pPr>
    </w:p>
    <w:p w14:paraId="1058D400" w14:textId="77777777" w:rsidR="00CE47CE" w:rsidRPr="00693F08" w:rsidRDefault="00CE47CE" w:rsidP="00CE47CE">
      <w:pPr>
        <w:rPr>
          <w:rFonts w:asciiTheme="majorHAnsi" w:hAnsiTheme="majorHAnsi"/>
          <w:color w:val="993366"/>
        </w:rPr>
      </w:pPr>
    </w:p>
    <w:p w14:paraId="3AC9BAB3" w14:textId="77777777" w:rsidR="00CE47CE" w:rsidRPr="00693F08" w:rsidRDefault="00CE47CE" w:rsidP="00CE47CE">
      <w:pPr>
        <w:tabs>
          <w:tab w:val="center" w:pos="4533"/>
          <w:tab w:val="left" w:pos="6544"/>
        </w:tabs>
        <w:rPr>
          <w:rFonts w:asciiTheme="majorHAnsi" w:hAnsiTheme="majorHAnsi"/>
          <w:u w:val="single"/>
        </w:rPr>
      </w:pPr>
      <w:r w:rsidRPr="00693F08">
        <w:rPr>
          <w:rFonts w:asciiTheme="majorHAnsi" w:hAnsiTheme="majorHAnsi" w:cs="Arial"/>
          <w:i/>
          <w:noProof/>
          <w:lang w:eastAsia="fr-FR"/>
        </w:rPr>
        <mc:AlternateContent>
          <mc:Choice Requires="wps">
            <w:drawing>
              <wp:anchor distT="4294967295" distB="4294967295" distL="114300" distR="114300" simplePos="0" relativeHeight="251662336" behindDoc="0" locked="0" layoutInCell="1" allowOverlap="1" wp14:anchorId="245DE098" wp14:editId="407DF0E0">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3C80C08F"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14:paraId="680C2F6E" w14:textId="77777777" w:rsidR="00CE47CE" w:rsidRPr="00693F08" w:rsidRDefault="00CE47CE" w:rsidP="00CE47CE">
      <w:pPr>
        <w:tabs>
          <w:tab w:val="left" w:pos="3240"/>
        </w:tabs>
        <w:jc w:val="center"/>
        <w:rPr>
          <w:rFonts w:asciiTheme="majorHAnsi" w:hAnsiTheme="majorHAnsi" w:cs="Arial"/>
          <w:b/>
        </w:rPr>
      </w:pPr>
      <w:r w:rsidRPr="00693F08">
        <w:rPr>
          <w:rFonts w:asciiTheme="majorHAnsi" w:hAnsiTheme="majorHAnsi" w:cs="Arial"/>
          <w:b/>
        </w:rPr>
        <w:t>BUREAU DE LA COMMUNICATION</w:t>
      </w:r>
    </w:p>
    <w:p w14:paraId="368476F6" w14:textId="4242D301" w:rsidR="00CE47CE" w:rsidRPr="00693F08" w:rsidRDefault="007A7556" w:rsidP="00CE47CE">
      <w:pPr>
        <w:tabs>
          <w:tab w:val="left" w:pos="3240"/>
        </w:tabs>
        <w:jc w:val="center"/>
        <w:rPr>
          <w:rFonts w:asciiTheme="majorHAnsi" w:hAnsiTheme="majorHAnsi" w:cs="Arial"/>
          <w:b/>
          <w:i/>
        </w:rPr>
      </w:pPr>
      <w:r>
        <w:rPr>
          <w:rFonts w:asciiTheme="majorHAnsi" w:hAnsiTheme="majorHAnsi" w:cs="Arial"/>
          <w:b/>
          <w:i/>
        </w:rPr>
        <w:t xml:space="preserve">Mercredi </w:t>
      </w:r>
      <w:r w:rsidR="00C902F3">
        <w:rPr>
          <w:rFonts w:asciiTheme="majorHAnsi" w:hAnsiTheme="majorHAnsi" w:cs="Arial"/>
          <w:b/>
          <w:i/>
        </w:rPr>
        <w:t>7</w:t>
      </w:r>
      <w:r w:rsidR="00762278">
        <w:rPr>
          <w:rFonts w:asciiTheme="majorHAnsi" w:hAnsiTheme="majorHAnsi" w:cs="Arial"/>
          <w:b/>
          <w:i/>
        </w:rPr>
        <w:t xml:space="preserve"> </w:t>
      </w:r>
      <w:r w:rsidR="00C902F3">
        <w:rPr>
          <w:rFonts w:asciiTheme="majorHAnsi" w:hAnsiTheme="majorHAnsi" w:cs="Arial"/>
          <w:b/>
          <w:i/>
        </w:rPr>
        <w:t>octobre</w:t>
      </w:r>
      <w:r>
        <w:rPr>
          <w:rFonts w:asciiTheme="majorHAnsi" w:hAnsiTheme="majorHAnsi" w:cs="Arial"/>
          <w:b/>
          <w:i/>
        </w:rPr>
        <w:t xml:space="preserve"> </w:t>
      </w:r>
      <w:r w:rsidR="00087CFE" w:rsidRPr="00693F08">
        <w:rPr>
          <w:rFonts w:asciiTheme="majorHAnsi" w:hAnsiTheme="majorHAnsi" w:cs="Arial"/>
          <w:b/>
          <w:i/>
        </w:rPr>
        <w:t>2020</w:t>
      </w:r>
    </w:p>
    <w:p w14:paraId="12D499B4" w14:textId="77777777" w:rsidR="00CE47CE" w:rsidRPr="00693F08" w:rsidRDefault="00CE47CE" w:rsidP="00CE47CE">
      <w:pPr>
        <w:tabs>
          <w:tab w:val="left" w:pos="3240"/>
        </w:tabs>
        <w:jc w:val="center"/>
        <w:rPr>
          <w:rFonts w:asciiTheme="majorHAnsi" w:hAnsiTheme="majorHAnsi"/>
        </w:rPr>
      </w:pPr>
      <w:r w:rsidRPr="00693F08">
        <w:rPr>
          <w:rFonts w:asciiTheme="majorHAnsi" w:hAnsiTheme="majorHAnsi" w:cs="Arial"/>
          <w:i/>
          <w:noProof/>
          <w:lang w:eastAsia="fr-FR"/>
        </w:rPr>
        <mc:AlternateContent>
          <mc:Choice Requires="wps">
            <w:drawing>
              <wp:anchor distT="4294967295" distB="4294967295" distL="114300" distR="114300" simplePos="0" relativeHeight="251661312" behindDoc="0" locked="0" layoutInCell="1" allowOverlap="1" wp14:anchorId="3A8E8A0E" wp14:editId="09531C46">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5AB70D7B"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14:paraId="01195C2C" w14:textId="77777777" w:rsidR="00CE47CE" w:rsidRPr="00693F08" w:rsidRDefault="00CE47CE" w:rsidP="00CE47CE">
      <w:pPr>
        <w:tabs>
          <w:tab w:val="left" w:pos="3240"/>
        </w:tabs>
        <w:rPr>
          <w:rFonts w:asciiTheme="majorHAnsi" w:hAnsiTheme="majorHAnsi" w:cs="Arial"/>
          <w:b/>
          <w:i/>
        </w:rPr>
      </w:pPr>
    </w:p>
    <w:p w14:paraId="44F1A5ED" w14:textId="77777777" w:rsidR="00CE47CE" w:rsidRPr="00693F08"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Theme="majorHAnsi" w:hAnsiTheme="majorHAnsi"/>
          <w:b/>
        </w:rPr>
      </w:pPr>
      <w:r w:rsidRPr="00693F08">
        <w:rPr>
          <w:rFonts w:asciiTheme="majorHAnsi" w:hAnsiTheme="majorHAnsi"/>
          <w:b/>
        </w:rPr>
        <w:tab/>
        <w:t xml:space="preserve">Compte rendu du Conseil des ministres </w:t>
      </w:r>
    </w:p>
    <w:p w14:paraId="057759CE" w14:textId="77777777" w:rsidR="00762278" w:rsidRDefault="00762278" w:rsidP="003C5FFF">
      <w:pPr>
        <w:pStyle w:val="-LettreSuiteORefPJGEDA"/>
        <w:ind w:left="0"/>
        <w:rPr>
          <w:rFonts w:asciiTheme="majorHAnsi" w:hAnsiTheme="majorHAnsi"/>
        </w:rPr>
      </w:pPr>
    </w:p>
    <w:p w14:paraId="6B90772E" w14:textId="77777777" w:rsidR="004064CE" w:rsidRDefault="004064CE" w:rsidP="004064CE">
      <w:pPr>
        <w:rPr>
          <w:rFonts w:ascii="Cambria" w:hAnsi="Cambria"/>
          <w:b/>
          <w:bCs/>
          <w:noProof/>
          <w:szCs w:val="20"/>
          <w:lang w:eastAsia="fr-FR"/>
        </w:rPr>
      </w:pPr>
    </w:p>
    <w:p w14:paraId="47412DCD" w14:textId="2960319A" w:rsidR="004064CE" w:rsidRDefault="007F18B2" w:rsidP="004064CE">
      <w:pPr>
        <w:rPr>
          <w:rFonts w:ascii="Cambria" w:hAnsi="Cambria"/>
          <w:b/>
          <w:bCs/>
        </w:rPr>
      </w:pPr>
      <w:r>
        <w:rPr>
          <w:rFonts w:ascii="Cambria" w:hAnsi="Cambria"/>
          <w:b/>
          <w:bCs/>
        </w:rPr>
        <w:t>A</w:t>
      </w:r>
      <w:r w:rsidR="004064CE">
        <w:rPr>
          <w:rFonts w:ascii="Cambria" w:hAnsi="Cambria"/>
          <w:b/>
          <w:bCs/>
        </w:rPr>
        <w:t xml:space="preserve">vance en compte courant de 2,1 milliards </w:t>
      </w:r>
      <w:proofErr w:type="spellStart"/>
      <w:r w:rsidR="004064CE">
        <w:rPr>
          <w:rFonts w:ascii="Cambria" w:hAnsi="Cambria"/>
          <w:b/>
          <w:bCs/>
        </w:rPr>
        <w:t>Fcfp</w:t>
      </w:r>
      <w:proofErr w:type="spellEnd"/>
      <w:r w:rsidR="004064CE">
        <w:rPr>
          <w:rFonts w:ascii="Cambria" w:hAnsi="Cambria"/>
          <w:b/>
          <w:bCs/>
        </w:rPr>
        <w:t xml:space="preserve"> à Air Tahiti Nui</w:t>
      </w:r>
    </w:p>
    <w:p w14:paraId="2A86DCB4" w14:textId="77777777" w:rsidR="004064CE" w:rsidRDefault="004064CE" w:rsidP="004064CE">
      <w:pPr>
        <w:rPr>
          <w:rFonts w:ascii="Cambria" w:hAnsi="Cambria"/>
          <w:b/>
          <w:bCs/>
        </w:rPr>
      </w:pPr>
    </w:p>
    <w:p w14:paraId="12CDA6F5" w14:textId="77777777" w:rsidR="004064CE" w:rsidRDefault="004064CE" w:rsidP="004064CE">
      <w:pPr>
        <w:pStyle w:val="-LettreTexteGEDA"/>
        <w:spacing w:before="240"/>
        <w:ind w:firstLine="0"/>
        <w:rPr>
          <w:rFonts w:ascii="Cambria" w:hAnsi="Cambria"/>
          <w:szCs w:val="24"/>
        </w:rPr>
      </w:pPr>
      <w:r>
        <w:rPr>
          <w:rFonts w:ascii="Cambria" w:hAnsi="Cambria"/>
        </w:rPr>
        <w:t>La pandémie de la Covid-19 a fortement impacté l’activité des transporteurs aériens, notamment, la compagnie Air Tahiti Nui qui a été contrainte à un arrêt quasi-complet de l’ensemble de ses vols, pendant plusieurs semaines, lors de la période de confinement, et à une réduction drastique de ses rotations à ce jour, impactant ainsi ses capacités à faire face à ses charges fixes. Il est donc essentiel de soutenir Air Tahiti Nui, employeur de 780 salariés au 1</w:t>
      </w:r>
      <w:r>
        <w:rPr>
          <w:rFonts w:ascii="Cambria" w:hAnsi="Cambria"/>
          <w:vertAlign w:val="superscript"/>
        </w:rPr>
        <w:t>er</w:t>
      </w:r>
      <w:r>
        <w:rPr>
          <w:rFonts w:ascii="Cambria" w:hAnsi="Cambria"/>
        </w:rPr>
        <w:t xml:space="preserve"> trimestre, afin de lui permettre de passer ce cap critique.</w:t>
      </w:r>
    </w:p>
    <w:p w14:paraId="768AB601" w14:textId="77777777" w:rsidR="004064CE" w:rsidRDefault="004064CE" w:rsidP="004064CE">
      <w:pPr>
        <w:pStyle w:val="-LettreTexteGEDA"/>
        <w:ind w:firstLine="0"/>
        <w:rPr>
          <w:rFonts w:ascii="Cambria" w:hAnsi="Cambria"/>
        </w:rPr>
      </w:pPr>
      <w:r>
        <w:rPr>
          <w:rFonts w:ascii="Cambria" w:hAnsi="Cambria"/>
        </w:rPr>
        <w:t xml:space="preserve">Le Conseil des ministres a donc décidé d’octroyer une avance en compte courant d’un montant maximal de 2,1 milliards Fcfp pour Air Tahiti Nui en vue de consolider sa trésorerie, dans le contexte notamment des pertes liées à la suspension d’activité compte tenu de la fermeture des frontières de la Polynésie française du 28 mars au 15 juillet 2020, ainsi que de celle des pays qu’Air Tahiti Nui dessert. </w:t>
      </w:r>
    </w:p>
    <w:p w14:paraId="26A38E22" w14:textId="59310430" w:rsidR="004064CE" w:rsidRDefault="004064CE" w:rsidP="004064CE">
      <w:pPr>
        <w:pStyle w:val="-LettreTexteGEDA"/>
        <w:ind w:firstLine="0"/>
        <w:rPr>
          <w:rFonts w:ascii="Cambria" w:hAnsi="Cambria"/>
        </w:rPr>
      </w:pPr>
      <w:r>
        <w:rPr>
          <w:rFonts w:ascii="Cambria" w:hAnsi="Cambria"/>
        </w:rPr>
        <w:t>Le Pays intervient en tant qu’action</w:t>
      </w:r>
      <w:r w:rsidR="007F18B2">
        <w:rPr>
          <w:rFonts w:ascii="Cambria" w:hAnsi="Cambria"/>
        </w:rPr>
        <w:t>naire majoritaire de la S.A.E.M</w:t>
      </w:r>
      <w:r>
        <w:rPr>
          <w:rFonts w:ascii="Cambria" w:hAnsi="Cambria"/>
        </w:rPr>
        <w:t xml:space="preserve"> Air Tahiti Nui, les activités de la compagnie revêtant un caractère d’intérêt général en tant qu’outil et levier du développement touristique de la Polynésie française et de son désenclavement, tout particulièrement en cette période en tant qu’outil de continuité territoriale.</w:t>
      </w:r>
    </w:p>
    <w:p w14:paraId="47FAC33E" w14:textId="77777777" w:rsidR="004064CE" w:rsidRPr="004064CE" w:rsidRDefault="004064CE" w:rsidP="004064CE">
      <w:pPr>
        <w:pStyle w:val="-LettreTexteGEDA"/>
        <w:ind w:firstLine="0"/>
        <w:rPr>
          <w:rFonts w:ascii="Cambria" w:hAnsi="Cambria"/>
        </w:rPr>
      </w:pPr>
    </w:p>
    <w:p w14:paraId="2719570B" w14:textId="77777777" w:rsidR="004064CE" w:rsidRDefault="004064CE" w:rsidP="004064CE">
      <w:pPr>
        <w:pStyle w:val="-LettreObjetGEDA"/>
        <w:spacing w:before="100" w:beforeAutospacing="1" w:after="120"/>
        <w:ind w:left="0" w:firstLine="0"/>
        <w:rPr>
          <w:rFonts w:ascii="Cambria" w:hAnsi="Cambria"/>
          <w:b/>
          <w:bCs/>
          <w:szCs w:val="24"/>
        </w:rPr>
      </w:pPr>
      <w:r>
        <w:rPr>
          <w:rFonts w:ascii="Cambria" w:hAnsi="Cambria"/>
          <w:b/>
          <w:bCs/>
        </w:rPr>
        <w:t>Affectation d’un terrain du Pays à la commune de Manihi en vue de la reconstruction de l’école primaire de l’île</w:t>
      </w:r>
    </w:p>
    <w:p w14:paraId="122D0209" w14:textId="77777777" w:rsidR="004064CE" w:rsidRDefault="004064CE" w:rsidP="004064CE">
      <w:pPr>
        <w:pStyle w:val="-LettreTexteGEDA"/>
        <w:rPr>
          <w:rFonts w:ascii="Cambria" w:hAnsi="Cambria"/>
          <w:highlight w:val="green"/>
        </w:rPr>
      </w:pPr>
    </w:p>
    <w:p w14:paraId="63B3E038" w14:textId="06BE93F7" w:rsidR="004064CE" w:rsidRDefault="004064CE" w:rsidP="004064CE">
      <w:pPr>
        <w:pStyle w:val="-LettreTexteGEDA"/>
        <w:ind w:firstLine="0"/>
        <w:rPr>
          <w:rFonts w:ascii="Cambria" w:hAnsi="Cambria"/>
        </w:rPr>
      </w:pPr>
      <w:r>
        <w:rPr>
          <w:rFonts w:ascii="Cambria" w:hAnsi="Cambria"/>
        </w:rPr>
        <w:t xml:space="preserve">Le Conseil des ministres s’est prononcé favorablement à l’affectation d’une emprise foncière du Pays </w:t>
      </w:r>
      <w:r w:rsidR="007F18B2">
        <w:rPr>
          <w:rFonts w:ascii="Cambria" w:hAnsi="Cambria"/>
        </w:rPr>
        <w:t xml:space="preserve">à la commune de Manihi </w:t>
      </w:r>
      <w:r>
        <w:rPr>
          <w:rFonts w:ascii="Cambria" w:hAnsi="Cambria"/>
        </w:rPr>
        <w:t xml:space="preserve">afin de permettre la construction de la future école de </w:t>
      </w:r>
      <w:r w:rsidR="007F18B2">
        <w:rPr>
          <w:rFonts w:ascii="Cambria" w:hAnsi="Cambria"/>
        </w:rPr>
        <w:t>l’île</w:t>
      </w:r>
      <w:r>
        <w:rPr>
          <w:rFonts w:ascii="Cambria" w:hAnsi="Cambria"/>
        </w:rPr>
        <w:t xml:space="preserve">. </w:t>
      </w:r>
    </w:p>
    <w:p w14:paraId="06ADB317" w14:textId="583F16F0" w:rsidR="004064CE" w:rsidRDefault="004064CE" w:rsidP="004064CE">
      <w:pPr>
        <w:pStyle w:val="-LettreTexteGEDA"/>
        <w:ind w:firstLine="0"/>
        <w:rPr>
          <w:rFonts w:ascii="Cambria" w:hAnsi="Cambria"/>
        </w:rPr>
      </w:pPr>
      <w:r>
        <w:rPr>
          <w:rFonts w:ascii="Cambria" w:hAnsi="Cambria"/>
        </w:rPr>
        <w:t xml:space="preserve">L’école primaire de Manihi, constituée de 2 classes, a été construite en 1979. Le bâtiment est </w:t>
      </w:r>
      <w:r w:rsidR="007F18B2">
        <w:rPr>
          <w:rFonts w:ascii="Cambria" w:hAnsi="Cambria"/>
        </w:rPr>
        <w:t xml:space="preserve">en effet </w:t>
      </w:r>
      <w:r>
        <w:rPr>
          <w:rFonts w:ascii="Cambria" w:hAnsi="Cambria"/>
        </w:rPr>
        <w:t>aujourd’hui vétuste et nécessite des travaux urgents de reconstruction. La commune de Manihi va lancer des travaux de construction d’une nouvelle école sur une parcelle du Pays sise à proximité du GOD de Manihi.</w:t>
      </w:r>
    </w:p>
    <w:p w14:paraId="50BC3EAA" w14:textId="028D4619" w:rsidR="004064CE" w:rsidRDefault="004064CE" w:rsidP="004064CE">
      <w:pPr>
        <w:pStyle w:val="-LettreTexteGEDA"/>
        <w:ind w:firstLine="0"/>
        <w:rPr>
          <w:rFonts w:ascii="Cambria" w:hAnsi="Cambria"/>
        </w:rPr>
      </w:pPr>
      <w:r>
        <w:rPr>
          <w:rFonts w:ascii="Cambria" w:hAnsi="Cambria"/>
        </w:rPr>
        <w:lastRenderedPageBreak/>
        <w:t>Cette opération, dont le coût total des travaux est estimé à 472 060 555 Fcfp</w:t>
      </w:r>
      <w:r w:rsidR="007F18B2">
        <w:rPr>
          <w:rFonts w:ascii="Cambria" w:hAnsi="Cambria"/>
        </w:rPr>
        <w:t>, sera financée à hauteur de 95</w:t>
      </w:r>
      <w:r>
        <w:rPr>
          <w:rFonts w:ascii="Cambria" w:hAnsi="Cambria"/>
        </w:rPr>
        <w:t>% au titre du Fonds intercommunal de Péréquation (FIP) et sur fonds propres.</w:t>
      </w:r>
    </w:p>
    <w:p w14:paraId="60BCDA45" w14:textId="77777777" w:rsidR="004064CE" w:rsidRDefault="004064CE" w:rsidP="004064CE">
      <w:pPr>
        <w:rPr>
          <w:rFonts w:ascii="Cambria" w:hAnsi="Cambria"/>
        </w:rPr>
      </w:pPr>
    </w:p>
    <w:p w14:paraId="480E7317" w14:textId="77777777" w:rsidR="004064CE" w:rsidRDefault="004064CE" w:rsidP="004064CE">
      <w:pPr>
        <w:rPr>
          <w:rFonts w:ascii="Cambria" w:hAnsi="Cambria"/>
        </w:rPr>
      </w:pPr>
    </w:p>
    <w:p w14:paraId="6D621404" w14:textId="77777777" w:rsidR="004064CE" w:rsidRDefault="004064CE" w:rsidP="004064CE">
      <w:pPr>
        <w:rPr>
          <w:rFonts w:ascii="Cambria" w:hAnsi="Cambria"/>
          <w:b/>
          <w:bCs/>
        </w:rPr>
      </w:pPr>
      <w:r>
        <w:rPr>
          <w:rFonts w:ascii="Cambria" w:hAnsi="Cambria"/>
          <w:b/>
          <w:bCs/>
        </w:rPr>
        <w:t xml:space="preserve">Soutien à la production locale: </w:t>
      </w:r>
      <w:r>
        <w:rPr>
          <w:rFonts w:ascii="Cambria" w:hAnsi="Cambria"/>
          <w:b/>
          <w:bCs/>
          <w:lang w:eastAsia="ar-SA"/>
        </w:rPr>
        <w:t xml:space="preserve">agrément </w:t>
      </w:r>
      <w:r>
        <w:rPr>
          <w:rFonts w:ascii="Cambria" w:hAnsi="Cambria"/>
          <w:b/>
          <w:bCs/>
        </w:rPr>
        <w:t xml:space="preserve">aux mesures d’incitations fiscales pour la SARL </w:t>
      </w:r>
      <w:proofErr w:type="spellStart"/>
      <w:r>
        <w:rPr>
          <w:rFonts w:ascii="Cambria" w:hAnsi="Cambria"/>
          <w:b/>
          <w:bCs/>
        </w:rPr>
        <w:t>Tradibois</w:t>
      </w:r>
      <w:proofErr w:type="spellEnd"/>
    </w:p>
    <w:p w14:paraId="66A6D569" w14:textId="77777777" w:rsidR="004064CE" w:rsidRDefault="004064CE" w:rsidP="004064CE">
      <w:pPr>
        <w:rPr>
          <w:rFonts w:ascii="Cambria" w:hAnsi="Cambria"/>
        </w:rPr>
      </w:pPr>
    </w:p>
    <w:p w14:paraId="29561601" w14:textId="77777777" w:rsidR="004064CE" w:rsidRDefault="004064CE" w:rsidP="004064CE">
      <w:pPr>
        <w:jc w:val="both"/>
        <w:rPr>
          <w:rFonts w:ascii="Cambria" w:hAnsi="Cambria"/>
        </w:rPr>
      </w:pPr>
    </w:p>
    <w:p w14:paraId="6696FDAD" w14:textId="77777777" w:rsidR="004064CE" w:rsidRDefault="004064CE" w:rsidP="004064CE">
      <w:pPr>
        <w:jc w:val="both"/>
        <w:rPr>
          <w:rFonts w:ascii="Cambria" w:hAnsi="Cambria"/>
        </w:rPr>
      </w:pPr>
      <w:r>
        <w:rPr>
          <w:rFonts w:ascii="Cambria" w:hAnsi="Cambria"/>
          <w:lang w:eastAsia="ar-SA"/>
        </w:rPr>
        <w:t xml:space="preserve">Le Conseil des ministres a accordé un agrément </w:t>
      </w:r>
      <w:r>
        <w:rPr>
          <w:rFonts w:ascii="Cambria" w:hAnsi="Cambria"/>
        </w:rPr>
        <w:t xml:space="preserve">aux mesures d’incitations fiscales pour la SARL </w:t>
      </w:r>
      <w:proofErr w:type="spellStart"/>
      <w:r>
        <w:rPr>
          <w:rFonts w:ascii="Cambria" w:hAnsi="Cambria"/>
        </w:rPr>
        <w:t>Tradibois</w:t>
      </w:r>
      <w:proofErr w:type="spellEnd"/>
      <w:r>
        <w:rPr>
          <w:rFonts w:ascii="Cambria" w:hAnsi="Cambria"/>
        </w:rPr>
        <w:t xml:space="preserve">. Créée en avril 2016, la SARL </w:t>
      </w:r>
      <w:proofErr w:type="spellStart"/>
      <w:r>
        <w:rPr>
          <w:rFonts w:ascii="Cambria" w:hAnsi="Cambria"/>
        </w:rPr>
        <w:t>Tradibois</w:t>
      </w:r>
      <w:proofErr w:type="spellEnd"/>
      <w:r>
        <w:rPr>
          <w:rFonts w:ascii="Cambria" w:hAnsi="Cambria"/>
        </w:rPr>
        <w:t xml:space="preserve"> a pour objet la réalisation, l’achat, la vente, la création et l’importation de charpentes et couvertures, de maisons à ossature en bois, de bungalows et tous types de produits pour la construction. Son siège social est situé dans la vallée de </w:t>
      </w:r>
      <w:proofErr w:type="spellStart"/>
      <w:r>
        <w:rPr>
          <w:rFonts w:ascii="Cambria" w:hAnsi="Cambria"/>
        </w:rPr>
        <w:t>Matatia</w:t>
      </w:r>
      <w:proofErr w:type="spellEnd"/>
      <w:r>
        <w:rPr>
          <w:rFonts w:ascii="Cambria" w:hAnsi="Cambria"/>
        </w:rPr>
        <w:t xml:space="preserve">, à Punaauia. La société emploie 10 personnes à temps plein. </w:t>
      </w:r>
    </w:p>
    <w:p w14:paraId="498EC378" w14:textId="77777777" w:rsidR="004064CE" w:rsidRDefault="004064CE" w:rsidP="004064CE">
      <w:pPr>
        <w:jc w:val="both"/>
        <w:rPr>
          <w:rFonts w:ascii="Cambria" w:hAnsi="Cambria"/>
        </w:rPr>
      </w:pPr>
    </w:p>
    <w:p w14:paraId="07649D31" w14:textId="0436718C" w:rsidR="004064CE" w:rsidRPr="004064CE" w:rsidRDefault="004064CE" w:rsidP="004064CE">
      <w:pPr>
        <w:jc w:val="both"/>
        <w:rPr>
          <w:rFonts w:ascii="Cambria" w:hAnsi="Cambria"/>
        </w:rPr>
      </w:pPr>
      <w:r>
        <w:rPr>
          <w:rFonts w:ascii="Cambria" w:hAnsi="Cambria"/>
        </w:rPr>
        <w:t xml:space="preserve">La commission de contrôle budgétaire et financier de l’Assemblée de la Polynésie française a émis, fin septembre, un avis favorable aux projets d’arrêté portant agrément du programme d’investissement présenté pour cette société. La stratégie de développement économique de la Polynésie française en faveur de l’industrie consiste à favoriser les activités à valeur ajoutée permettant de créer de l’emploi, de valoriser les ressources naturelles locales et de substituer l’importation par la production locale. </w:t>
      </w:r>
    </w:p>
    <w:p w14:paraId="39EF152D" w14:textId="77777777" w:rsidR="004064CE" w:rsidRDefault="004064CE" w:rsidP="0053719D">
      <w:pPr>
        <w:rPr>
          <w:lang w:eastAsia="fr-FR"/>
        </w:rPr>
      </w:pPr>
    </w:p>
    <w:p w14:paraId="240C37EA" w14:textId="77777777" w:rsidR="004064CE" w:rsidRDefault="004064CE" w:rsidP="0053719D">
      <w:pPr>
        <w:rPr>
          <w:lang w:eastAsia="fr-FR"/>
        </w:rPr>
      </w:pPr>
    </w:p>
    <w:p w14:paraId="326CE640" w14:textId="07A67FB8" w:rsidR="0053719D" w:rsidRDefault="00E6211F" w:rsidP="0053719D">
      <w:pPr>
        <w:pStyle w:val="-LettreSuiteORefPJGEDA"/>
        <w:ind w:left="0"/>
        <w:rPr>
          <w:rFonts w:asciiTheme="majorHAnsi" w:hAnsiTheme="majorHAnsi" w:cs="Calibri Light"/>
          <w:b/>
          <w:bCs/>
        </w:rPr>
      </w:pPr>
      <w:r w:rsidRPr="00E6211F">
        <w:rPr>
          <w:rFonts w:asciiTheme="majorHAnsi" w:hAnsiTheme="majorHAnsi" w:cs="Calibri Light"/>
          <w:b/>
          <w:bCs/>
        </w:rPr>
        <w:t>Indice des prix: baisse de 0,5</w:t>
      </w:r>
      <w:r w:rsidRPr="00E6211F">
        <w:rPr>
          <w:rFonts w:asciiTheme="majorHAnsi" w:hAnsiTheme="majorHAnsi" w:cs="Calibri Light"/>
          <w:b/>
        </w:rPr>
        <w:t xml:space="preserve">% au </w:t>
      </w:r>
      <w:r w:rsidR="0053719D" w:rsidRPr="00E6211F">
        <w:rPr>
          <w:rFonts w:asciiTheme="majorHAnsi" w:hAnsiTheme="majorHAnsi" w:cs="Calibri Light"/>
          <w:b/>
          <w:bCs/>
        </w:rPr>
        <w:t>mois d’août</w:t>
      </w:r>
    </w:p>
    <w:p w14:paraId="6EFEAE9C" w14:textId="77777777" w:rsidR="00582CD8" w:rsidRPr="00E6211F" w:rsidRDefault="00582CD8" w:rsidP="0053719D">
      <w:pPr>
        <w:pStyle w:val="-LettreSuiteORefPJGEDA"/>
        <w:ind w:left="0"/>
        <w:rPr>
          <w:rFonts w:asciiTheme="majorHAnsi" w:hAnsiTheme="majorHAnsi" w:cs="Calibri Light"/>
          <w:b/>
          <w:bCs/>
          <w:szCs w:val="24"/>
        </w:rPr>
      </w:pPr>
    </w:p>
    <w:p w14:paraId="3CDC0A3E" w14:textId="77777777" w:rsidR="00582CD8" w:rsidRDefault="00582CD8" w:rsidP="0053719D">
      <w:pPr>
        <w:pStyle w:val="-LettreTexteGEDA"/>
        <w:spacing w:after="120"/>
        <w:ind w:firstLine="0"/>
        <w:rPr>
          <w:rFonts w:asciiTheme="majorHAnsi" w:hAnsiTheme="majorHAnsi" w:cs="Calibri Light"/>
        </w:rPr>
      </w:pPr>
      <w:r>
        <w:rPr>
          <w:rFonts w:asciiTheme="majorHAnsi" w:hAnsiTheme="majorHAnsi" w:cs="Calibri Light"/>
        </w:rPr>
        <w:t>Au mois d’</w:t>
      </w:r>
      <w:r w:rsidR="0053719D" w:rsidRPr="0053719D">
        <w:rPr>
          <w:rFonts w:asciiTheme="majorHAnsi" w:hAnsiTheme="majorHAnsi" w:cs="Calibri Light"/>
        </w:rPr>
        <w:t xml:space="preserve">août, l'indice des prix à la consommation baisse de 0,5 % et s'établit à 98,87, essentiellement en raison de la baisse des prix de 1,8 % dans la division Transports et de 0,5 % dans la division Logement, eau, électricité, gaz et autres combustibles. Sur douze mois, l'indice général des prix à la consommation baisse de 1,0 %. </w:t>
      </w:r>
    </w:p>
    <w:p w14:paraId="16C9F6DA" w14:textId="237E65D6" w:rsidR="0053719D" w:rsidRPr="0053719D" w:rsidRDefault="0053719D" w:rsidP="0053719D">
      <w:pPr>
        <w:pStyle w:val="-LettreTexteGEDA"/>
        <w:spacing w:after="120"/>
        <w:ind w:firstLine="0"/>
        <w:rPr>
          <w:rFonts w:asciiTheme="majorHAnsi" w:hAnsiTheme="majorHAnsi" w:cs="Calibri Light"/>
        </w:rPr>
      </w:pPr>
      <w:r w:rsidRPr="0053719D">
        <w:rPr>
          <w:rFonts w:asciiTheme="majorHAnsi" w:hAnsiTheme="majorHAnsi" w:cs="Calibri Light"/>
        </w:rPr>
        <w:t>L’indice ouvrier baisse de 0,4 % en août. Il baisse de 0,8 % en glissement sur douze mois. L'indice général hors Transport aérien intern</w:t>
      </w:r>
      <w:r w:rsidR="00582CD8">
        <w:rPr>
          <w:rFonts w:asciiTheme="majorHAnsi" w:hAnsiTheme="majorHAnsi" w:cs="Calibri Light"/>
        </w:rPr>
        <w:t>ational baisse de 0,2 % en août</w:t>
      </w:r>
      <w:r w:rsidRPr="0053719D">
        <w:rPr>
          <w:rFonts w:asciiTheme="majorHAnsi" w:hAnsiTheme="majorHAnsi" w:cs="Calibri Light"/>
        </w:rPr>
        <w:t xml:space="preserve"> et diminue de 1,0 % en glissement sur douze mois. </w:t>
      </w:r>
    </w:p>
    <w:p w14:paraId="3EA950F6" w14:textId="1EAD8382" w:rsidR="0053719D" w:rsidRPr="0053719D" w:rsidRDefault="0053719D" w:rsidP="0053719D">
      <w:pPr>
        <w:pStyle w:val="-LettreTexteGEDA"/>
        <w:spacing w:after="120"/>
        <w:ind w:firstLine="0"/>
        <w:rPr>
          <w:rFonts w:asciiTheme="majorHAnsi" w:hAnsiTheme="majorHAnsi" w:cs="Calibri Light"/>
        </w:rPr>
      </w:pPr>
      <w:r w:rsidRPr="0053719D">
        <w:rPr>
          <w:rFonts w:asciiTheme="majorHAnsi" w:hAnsiTheme="majorHAnsi" w:cs="Calibri Light"/>
        </w:rPr>
        <w:t xml:space="preserve">Les prix dans la division Transports baissent de 1,8 % en août. Cette évolution est essentiellement liée à la baisse de 14,4 % des prix des transports aériens de voyageurs. En glissement sur douze mois, les prix dans cette division baissent de 3,4 %. </w:t>
      </w:r>
      <w:r w:rsidR="00582CD8">
        <w:rPr>
          <w:rFonts w:asciiTheme="majorHAnsi" w:hAnsiTheme="majorHAnsi" w:cs="Calibri Light"/>
        </w:rPr>
        <w:t xml:space="preserve"> </w:t>
      </w:r>
      <w:r w:rsidRPr="0053719D">
        <w:rPr>
          <w:rFonts w:asciiTheme="majorHAnsi" w:hAnsiTheme="majorHAnsi" w:cs="Calibri Light"/>
        </w:rPr>
        <w:t>Les prix dans la division Logement, eau, électricité, gaz et autres combustibles baissent de 0,5 % en août. Cette évolution est liée à la baisse de 1,9 % des prix de l'électricité. En glissement sur douze mois, les prix dans cette division augmentent de 0,5 %.</w:t>
      </w:r>
    </w:p>
    <w:p w14:paraId="0093B8C0" w14:textId="77777777" w:rsidR="0053719D" w:rsidRPr="0053719D" w:rsidRDefault="0053719D" w:rsidP="0053719D">
      <w:pPr>
        <w:pStyle w:val="-LettreTexteGEDA"/>
        <w:spacing w:after="120"/>
        <w:ind w:firstLine="0"/>
        <w:rPr>
          <w:rFonts w:asciiTheme="majorHAnsi" w:hAnsiTheme="majorHAnsi" w:cs="Calibri Light"/>
        </w:rPr>
      </w:pPr>
      <w:r w:rsidRPr="0053719D">
        <w:rPr>
          <w:rFonts w:asciiTheme="majorHAnsi" w:hAnsiTheme="majorHAnsi" w:cs="Calibri Light"/>
        </w:rPr>
        <w:t>Les prix dans la division Produits alimentaires et boissons non alcoolisées baissent de 0,2 %. Cette évolution est liée à la baisse de 2,6 % des prix des légumes, de 1,5 % des prix des huiles et graisses et de 1,3 % des prix des Laits, fromages et oeufs. En glissement sur douze mois, les prix dans cette division augmentent de 1,5 %.</w:t>
      </w:r>
    </w:p>
    <w:p w14:paraId="7CD81BF6" w14:textId="4C6BC534" w:rsidR="0053719D" w:rsidRPr="0053719D" w:rsidRDefault="00582CD8" w:rsidP="0053719D">
      <w:pPr>
        <w:pStyle w:val="-LettreTexteGEDA"/>
        <w:spacing w:before="240"/>
        <w:ind w:firstLine="0"/>
        <w:rPr>
          <w:rFonts w:asciiTheme="majorHAnsi" w:hAnsiTheme="majorHAnsi" w:cs="Calibri Light"/>
        </w:rPr>
      </w:pPr>
      <w:r>
        <w:rPr>
          <w:rFonts w:asciiTheme="majorHAnsi" w:hAnsiTheme="majorHAnsi" w:cs="Calibri Light"/>
        </w:rPr>
        <w:t>Toujours pour le mois d’</w:t>
      </w:r>
      <w:r w:rsidR="0053719D" w:rsidRPr="0053719D">
        <w:rPr>
          <w:rFonts w:asciiTheme="majorHAnsi" w:hAnsiTheme="majorHAnsi" w:cs="Calibri Light"/>
        </w:rPr>
        <w:t>août, l'index du Bâtiment et des Travaux Publics augmente de 0,4 % et s'établit à 108,93. Cette évolution est principalement liée à l'augmentation de 3,0 % des prix des matériaux chimiques. Sur douze mois, l'index général du Bâtiment et Travaux publics augmente de 0,2 %.</w:t>
      </w:r>
    </w:p>
    <w:p w14:paraId="349F7D82" w14:textId="0DE11AAE" w:rsidR="0053719D" w:rsidRPr="0053719D" w:rsidRDefault="0053719D" w:rsidP="00E6211F">
      <w:pPr>
        <w:pStyle w:val="-LettreTexteGEDA"/>
        <w:spacing w:before="240"/>
        <w:ind w:firstLine="0"/>
        <w:rPr>
          <w:rFonts w:asciiTheme="majorHAnsi" w:hAnsiTheme="majorHAnsi" w:cs="Calibri Light"/>
        </w:rPr>
      </w:pPr>
      <w:r w:rsidRPr="0053719D">
        <w:rPr>
          <w:rFonts w:asciiTheme="majorHAnsi" w:hAnsiTheme="majorHAnsi" w:cs="Calibri Light"/>
        </w:rPr>
        <w:lastRenderedPageBreak/>
        <w:t>Dans le Bâtiment, l'index du Gros Œuvre est stable et celui du Second Œuvre diminue de 0,3 %. Sur douze mois, l'index général du Bâtiment est en hausse de 1,3 %.</w:t>
      </w:r>
      <w:r w:rsidR="00582CD8">
        <w:rPr>
          <w:rFonts w:asciiTheme="majorHAnsi" w:hAnsiTheme="majorHAnsi" w:cs="Calibri Light"/>
        </w:rPr>
        <w:t xml:space="preserve"> </w:t>
      </w:r>
      <w:r w:rsidRPr="0053719D">
        <w:rPr>
          <w:rFonts w:asciiTheme="majorHAnsi" w:hAnsiTheme="majorHAnsi" w:cs="Calibri Light"/>
        </w:rPr>
        <w:t xml:space="preserve">Dans les Travaux Publics, l'index du Génie Civil augmente de 1,4 % alors que celui des Travaux Spécialisés diminue de 0,2 %. Sur douze mois, l'index général des Travaux Publics est en baisse de 1,3 %. </w:t>
      </w:r>
    </w:p>
    <w:p w14:paraId="0BAD6617" w14:textId="47EDD57C" w:rsidR="0053719D" w:rsidRDefault="0053719D" w:rsidP="0053719D">
      <w:pPr>
        <w:rPr>
          <w:rFonts w:asciiTheme="majorHAnsi" w:hAnsiTheme="majorHAnsi"/>
          <w:lang w:eastAsia="fr-FR"/>
        </w:rPr>
      </w:pPr>
    </w:p>
    <w:p w14:paraId="2CC2C343" w14:textId="09C81DE0" w:rsidR="00E6211F" w:rsidRDefault="00E6211F" w:rsidP="00E6211F">
      <w:pPr>
        <w:pStyle w:val="-LettreSuiteORefPJGEDA"/>
        <w:ind w:left="0"/>
        <w:rPr>
          <w:rFonts w:ascii="Cambria" w:hAnsi="Cambria"/>
          <w:szCs w:val="24"/>
        </w:rPr>
      </w:pPr>
      <w:r>
        <w:rPr>
          <w:rFonts w:ascii="Cambria" w:hAnsi="Cambria"/>
        </w:rPr>
        <w:t>Pour le mois d’août également, les index hybrides prennent les valeurs suivantes (base 100 en décembre 2010) :</w:t>
      </w:r>
    </w:p>
    <w:p w14:paraId="197DF990" w14:textId="77777777" w:rsidR="007301C6" w:rsidRPr="0053719D" w:rsidRDefault="007301C6" w:rsidP="007301C6">
      <w:pPr>
        <w:pStyle w:val="-LettreTexteGEDA"/>
        <w:spacing w:before="240"/>
        <w:ind w:firstLine="0"/>
        <w:rPr>
          <w:rFonts w:asciiTheme="majorHAnsi" w:hAnsiTheme="majorHAnsi" w:cs="Calibri Light"/>
        </w:rPr>
      </w:pPr>
    </w:p>
    <w:tbl>
      <w:tblPr>
        <w:tblW w:w="9634" w:type="dxa"/>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5665"/>
        <w:gridCol w:w="1276"/>
        <w:gridCol w:w="1309"/>
        <w:gridCol w:w="1384"/>
      </w:tblGrid>
      <w:tr w:rsidR="007301C6" w14:paraId="11BCED0B" w14:textId="77777777" w:rsidTr="00D55610">
        <w:trPr>
          <w:trHeight w:val="315"/>
        </w:trPr>
        <w:tc>
          <w:tcPr>
            <w:tcW w:w="5665" w:type="dxa"/>
            <w:vMerge w:val="restart"/>
            <w:tcBorders>
              <w:top w:val="dotted" w:sz="4" w:space="0" w:color="auto"/>
              <w:left w:val="dotted" w:sz="4" w:space="0" w:color="auto"/>
              <w:bottom w:val="dotted" w:sz="4" w:space="0" w:color="auto"/>
              <w:right w:val="dotted" w:sz="4" w:space="0" w:color="auto"/>
            </w:tcBorders>
            <w:noWrap/>
            <w:vAlign w:val="center"/>
            <w:hideMark/>
          </w:tcPr>
          <w:p w14:paraId="10DBD4FE" w14:textId="77777777" w:rsidR="007301C6" w:rsidRDefault="007301C6" w:rsidP="00D55610">
            <w:pPr>
              <w:rPr>
                <w:b/>
                <w:color w:val="000000"/>
                <w:lang w:eastAsia="fr-FR"/>
              </w:rPr>
            </w:pPr>
            <w:r>
              <w:rPr>
                <w:b/>
                <w:color w:val="000000"/>
              </w:rPr>
              <w:t>Index</w:t>
            </w:r>
          </w:p>
        </w:tc>
        <w:tc>
          <w:tcPr>
            <w:tcW w:w="1276" w:type="dxa"/>
            <w:vMerge w:val="restart"/>
            <w:tcBorders>
              <w:top w:val="dotted" w:sz="4" w:space="0" w:color="auto"/>
              <w:left w:val="dotted" w:sz="4" w:space="0" w:color="auto"/>
              <w:bottom w:val="dotted" w:sz="4" w:space="0" w:color="auto"/>
              <w:right w:val="dotted" w:sz="4" w:space="0" w:color="auto"/>
            </w:tcBorders>
            <w:noWrap/>
            <w:vAlign w:val="center"/>
            <w:hideMark/>
          </w:tcPr>
          <w:p w14:paraId="5C86D948" w14:textId="77777777" w:rsidR="007301C6" w:rsidRDefault="007301C6" w:rsidP="00D55610">
            <w:pPr>
              <w:jc w:val="center"/>
              <w:rPr>
                <w:b/>
                <w:color w:val="000000"/>
              </w:rPr>
            </w:pPr>
            <w:r>
              <w:rPr>
                <w:b/>
                <w:color w:val="000000"/>
              </w:rPr>
              <w:t>Valeur</w:t>
            </w:r>
          </w:p>
        </w:tc>
        <w:tc>
          <w:tcPr>
            <w:tcW w:w="2693" w:type="dxa"/>
            <w:gridSpan w:val="2"/>
            <w:tcBorders>
              <w:top w:val="dotted" w:sz="4" w:space="0" w:color="auto"/>
              <w:left w:val="dotted" w:sz="4" w:space="0" w:color="auto"/>
              <w:bottom w:val="dotted" w:sz="4" w:space="0" w:color="auto"/>
              <w:right w:val="dotted" w:sz="4" w:space="0" w:color="auto"/>
            </w:tcBorders>
            <w:noWrap/>
            <w:vAlign w:val="center"/>
            <w:hideMark/>
          </w:tcPr>
          <w:p w14:paraId="3C4A8429" w14:textId="77777777" w:rsidR="007301C6" w:rsidRDefault="007301C6" w:rsidP="00D55610">
            <w:pPr>
              <w:jc w:val="center"/>
              <w:rPr>
                <w:b/>
                <w:color w:val="000000"/>
              </w:rPr>
            </w:pPr>
            <w:r>
              <w:rPr>
                <w:b/>
                <w:color w:val="000000"/>
              </w:rPr>
              <w:t>Variations en %</w:t>
            </w:r>
          </w:p>
        </w:tc>
      </w:tr>
      <w:tr w:rsidR="007301C6" w14:paraId="44F6E029" w14:textId="77777777" w:rsidTr="00D55610">
        <w:trPr>
          <w:trHeight w:val="315"/>
        </w:trPr>
        <w:tc>
          <w:tcPr>
            <w:tcW w:w="0" w:type="auto"/>
            <w:vMerge/>
            <w:tcBorders>
              <w:top w:val="dotted" w:sz="4" w:space="0" w:color="auto"/>
              <w:left w:val="dotted" w:sz="4" w:space="0" w:color="auto"/>
              <w:bottom w:val="dotted" w:sz="4" w:space="0" w:color="auto"/>
              <w:right w:val="dotted" w:sz="4" w:space="0" w:color="auto"/>
            </w:tcBorders>
            <w:vAlign w:val="center"/>
            <w:hideMark/>
          </w:tcPr>
          <w:p w14:paraId="17DE71CD" w14:textId="77777777" w:rsidR="007301C6" w:rsidRDefault="007301C6" w:rsidP="00D55610">
            <w:pPr>
              <w:rPr>
                <w:b/>
                <w:color w:val="000000"/>
                <w:lang w:eastAsia="fr-FR"/>
              </w:rPr>
            </w:pPr>
          </w:p>
        </w:tc>
        <w:tc>
          <w:tcPr>
            <w:tcW w:w="0" w:type="auto"/>
            <w:vMerge/>
            <w:tcBorders>
              <w:top w:val="dotted" w:sz="4" w:space="0" w:color="auto"/>
              <w:left w:val="dotted" w:sz="4" w:space="0" w:color="auto"/>
              <w:bottom w:val="dotted" w:sz="4" w:space="0" w:color="auto"/>
              <w:right w:val="dotted" w:sz="4" w:space="0" w:color="auto"/>
            </w:tcBorders>
            <w:vAlign w:val="center"/>
            <w:hideMark/>
          </w:tcPr>
          <w:p w14:paraId="4BC07ECB" w14:textId="77777777" w:rsidR="007301C6" w:rsidRDefault="007301C6" w:rsidP="00D55610">
            <w:pPr>
              <w:rPr>
                <w:b/>
                <w:color w:val="000000"/>
                <w:lang w:eastAsia="fr-FR"/>
              </w:rPr>
            </w:pPr>
          </w:p>
        </w:tc>
        <w:tc>
          <w:tcPr>
            <w:tcW w:w="1309" w:type="dxa"/>
            <w:tcBorders>
              <w:top w:val="dotted" w:sz="4" w:space="0" w:color="auto"/>
              <w:left w:val="dotted" w:sz="4" w:space="0" w:color="auto"/>
              <w:bottom w:val="dotted" w:sz="4" w:space="0" w:color="auto"/>
              <w:right w:val="dotted" w:sz="4" w:space="0" w:color="auto"/>
            </w:tcBorders>
            <w:noWrap/>
            <w:vAlign w:val="center"/>
            <w:hideMark/>
          </w:tcPr>
          <w:p w14:paraId="32CD09DD" w14:textId="77777777" w:rsidR="007301C6" w:rsidRDefault="007301C6" w:rsidP="00D55610">
            <w:pPr>
              <w:jc w:val="center"/>
              <w:rPr>
                <w:b/>
                <w:color w:val="000000"/>
              </w:rPr>
            </w:pPr>
            <w:r>
              <w:rPr>
                <w:b/>
                <w:color w:val="000000"/>
              </w:rPr>
              <w:t>Mensuelle</w:t>
            </w:r>
          </w:p>
        </w:tc>
        <w:tc>
          <w:tcPr>
            <w:tcW w:w="1384" w:type="dxa"/>
            <w:tcBorders>
              <w:top w:val="dotted" w:sz="4" w:space="0" w:color="auto"/>
              <w:left w:val="dotted" w:sz="4" w:space="0" w:color="auto"/>
              <w:bottom w:val="dotted" w:sz="4" w:space="0" w:color="auto"/>
              <w:right w:val="dotted" w:sz="4" w:space="0" w:color="auto"/>
            </w:tcBorders>
            <w:vAlign w:val="center"/>
            <w:hideMark/>
          </w:tcPr>
          <w:p w14:paraId="7F002E23" w14:textId="77777777" w:rsidR="007301C6" w:rsidRDefault="007301C6" w:rsidP="00D55610">
            <w:pPr>
              <w:jc w:val="center"/>
              <w:rPr>
                <w:b/>
                <w:color w:val="000000"/>
              </w:rPr>
            </w:pPr>
            <w:r>
              <w:rPr>
                <w:b/>
                <w:color w:val="000000"/>
              </w:rPr>
              <w:t>Sur 12 mois</w:t>
            </w:r>
          </w:p>
        </w:tc>
      </w:tr>
      <w:tr w:rsidR="007301C6" w14:paraId="6B2E9037" w14:textId="77777777" w:rsidTr="00D55610">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14:paraId="4E027104" w14:textId="77777777" w:rsidR="007301C6" w:rsidRDefault="007301C6" w:rsidP="00D55610">
            <w:pPr>
              <w:rPr>
                <w:color w:val="000000"/>
              </w:rPr>
            </w:pPr>
            <w:r>
              <w:rPr>
                <w:color w:val="000000"/>
              </w:rPr>
              <w:t>Gardiennage</w:t>
            </w:r>
          </w:p>
        </w:tc>
        <w:tc>
          <w:tcPr>
            <w:tcW w:w="1276" w:type="dxa"/>
            <w:tcBorders>
              <w:top w:val="dotted" w:sz="4" w:space="0" w:color="auto"/>
              <w:left w:val="dotted" w:sz="4" w:space="0" w:color="auto"/>
              <w:bottom w:val="dotted" w:sz="4" w:space="0" w:color="auto"/>
              <w:right w:val="dotted" w:sz="4" w:space="0" w:color="auto"/>
            </w:tcBorders>
            <w:noWrap/>
            <w:vAlign w:val="center"/>
            <w:hideMark/>
          </w:tcPr>
          <w:p w14:paraId="4EB6846A" w14:textId="77777777" w:rsidR="007301C6" w:rsidRDefault="007301C6" w:rsidP="00D55610">
            <w:pPr>
              <w:jc w:val="center"/>
              <w:rPr>
                <w:color w:val="000000"/>
              </w:rPr>
            </w:pPr>
            <w:r>
              <w:rPr>
                <w:color w:val="000000"/>
              </w:rPr>
              <w:t>115,71</w:t>
            </w:r>
          </w:p>
        </w:tc>
        <w:tc>
          <w:tcPr>
            <w:tcW w:w="1309" w:type="dxa"/>
            <w:tcBorders>
              <w:top w:val="dotted" w:sz="4" w:space="0" w:color="auto"/>
              <w:left w:val="dotted" w:sz="4" w:space="0" w:color="auto"/>
              <w:bottom w:val="dotted" w:sz="4" w:space="0" w:color="auto"/>
              <w:right w:val="dotted" w:sz="4" w:space="0" w:color="auto"/>
            </w:tcBorders>
            <w:noWrap/>
            <w:vAlign w:val="center"/>
            <w:hideMark/>
          </w:tcPr>
          <w:p w14:paraId="4B02A7CE" w14:textId="77777777" w:rsidR="007301C6" w:rsidRDefault="007301C6" w:rsidP="00D55610">
            <w:pPr>
              <w:jc w:val="center"/>
              <w:rPr>
                <w:color w:val="000000"/>
              </w:rPr>
            </w:pPr>
            <w:r>
              <w:rPr>
                <w:color w:val="000000"/>
              </w:rPr>
              <w:t>-</w:t>
            </w:r>
          </w:p>
        </w:tc>
        <w:tc>
          <w:tcPr>
            <w:tcW w:w="1384" w:type="dxa"/>
            <w:tcBorders>
              <w:top w:val="dotted" w:sz="4" w:space="0" w:color="auto"/>
              <w:left w:val="dotted" w:sz="4" w:space="0" w:color="auto"/>
              <w:bottom w:val="dotted" w:sz="4" w:space="0" w:color="auto"/>
              <w:right w:val="dotted" w:sz="4" w:space="0" w:color="auto"/>
            </w:tcBorders>
            <w:vAlign w:val="center"/>
            <w:hideMark/>
          </w:tcPr>
          <w:p w14:paraId="3FEC66BF" w14:textId="77777777" w:rsidR="007301C6" w:rsidRDefault="007301C6" w:rsidP="00D55610">
            <w:pPr>
              <w:jc w:val="center"/>
              <w:rPr>
                <w:color w:val="000000"/>
              </w:rPr>
            </w:pPr>
            <w:r>
              <w:rPr>
                <w:color w:val="000000"/>
              </w:rPr>
              <w:t>0,8</w:t>
            </w:r>
          </w:p>
        </w:tc>
      </w:tr>
      <w:tr w:rsidR="007301C6" w14:paraId="4AF824C5" w14:textId="77777777" w:rsidTr="00D55610">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14:paraId="745F7E38" w14:textId="77777777" w:rsidR="007301C6" w:rsidRDefault="007301C6" w:rsidP="00D55610">
            <w:pPr>
              <w:rPr>
                <w:color w:val="000000"/>
              </w:rPr>
            </w:pPr>
            <w:r>
              <w:rPr>
                <w:color w:val="000000"/>
              </w:rPr>
              <w:t>Sûreté</w:t>
            </w:r>
          </w:p>
        </w:tc>
        <w:tc>
          <w:tcPr>
            <w:tcW w:w="1276" w:type="dxa"/>
            <w:tcBorders>
              <w:top w:val="dotted" w:sz="4" w:space="0" w:color="auto"/>
              <w:left w:val="dotted" w:sz="4" w:space="0" w:color="auto"/>
              <w:bottom w:val="dotted" w:sz="4" w:space="0" w:color="auto"/>
              <w:right w:val="dotted" w:sz="4" w:space="0" w:color="auto"/>
            </w:tcBorders>
            <w:noWrap/>
            <w:vAlign w:val="center"/>
            <w:hideMark/>
          </w:tcPr>
          <w:p w14:paraId="0E7A2E72" w14:textId="77777777" w:rsidR="007301C6" w:rsidRDefault="007301C6" w:rsidP="00D55610">
            <w:pPr>
              <w:jc w:val="center"/>
              <w:rPr>
                <w:color w:val="000000"/>
              </w:rPr>
            </w:pPr>
            <w:r>
              <w:rPr>
                <w:color w:val="000000"/>
              </w:rPr>
              <w:t>110,85</w:t>
            </w:r>
          </w:p>
        </w:tc>
        <w:tc>
          <w:tcPr>
            <w:tcW w:w="1309" w:type="dxa"/>
            <w:tcBorders>
              <w:top w:val="dotted" w:sz="4" w:space="0" w:color="auto"/>
              <w:left w:val="dotted" w:sz="4" w:space="0" w:color="auto"/>
              <w:bottom w:val="dotted" w:sz="4" w:space="0" w:color="auto"/>
              <w:right w:val="dotted" w:sz="4" w:space="0" w:color="auto"/>
            </w:tcBorders>
            <w:noWrap/>
            <w:vAlign w:val="center"/>
            <w:hideMark/>
          </w:tcPr>
          <w:p w14:paraId="005487E3" w14:textId="77777777" w:rsidR="007301C6" w:rsidRDefault="007301C6" w:rsidP="00D55610">
            <w:pPr>
              <w:jc w:val="center"/>
              <w:rPr>
                <w:color w:val="000000"/>
              </w:rPr>
            </w:pPr>
            <w:r>
              <w:rPr>
                <w:color w:val="000000"/>
              </w:rPr>
              <w:t>-</w:t>
            </w:r>
          </w:p>
        </w:tc>
        <w:tc>
          <w:tcPr>
            <w:tcW w:w="1384" w:type="dxa"/>
            <w:tcBorders>
              <w:top w:val="dotted" w:sz="4" w:space="0" w:color="auto"/>
              <w:left w:val="dotted" w:sz="4" w:space="0" w:color="auto"/>
              <w:bottom w:val="dotted" w:sz="4" w:space="0" w:color="auto"/>
              <w:right w:val="dotted" w:sz="4" w:space="0" w:color="auto"/>
            </w:tcBorders>
            <w:vAlign w:val="center"/>
            <w:hideMark/>
          </w:tcPr>
          <w:p w14:paraId="45EDB2FB" w14:textId="77777777" w:rsidR="007301C6" w:rsidRDefault="007301C6" w:rsidP="00D55610">
            <w:pPr>
              <w:jc w:val="center"/>
              <w:rPr>
                <w:color w:val="000000"/>
              </w:rPr>
            </w:pPr>
            <w:r>
              <w:rPr>
                <w:color w:val="000000"/>
              </w:rPr>
              <w:t>0,8</w:t>
            </w:r>
          </w:p>
        </w:tc>
      </w:tr>
      <w:tr w:rsidR="007301C6" w14:paraId="120187BC" w14:textId="77777777" w:rsidTr="00D55610">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14:paraId="2CA77CC6" w14:textId="77777777" w:rsidR="007301C6" w:rsidRDefault="007301C6" w:rsidP="00D55610">
            <w:pPr>
              <w:rPr>
                <w:color w:val="000000"/>
              </w:rPr>
            </w:pPr>
            <w:r>
              <w:rPr>
                <w:color w:val="000000"/>
              </w:rPr>
              <w:t>Véhicules Légers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14:paraId="306A7E4A" w14:textId="77777777" w:rsidR="007301C6" w:rsidRDefault="007301C6" w:rsidP="00D55610">
            <w:pPr>
              <w:jc w:val="center"/>
              <w:rPr>
                <w:color w:val="000000"/>
              </w:rPr>
            </w:pPr>
            <w:r>
              <w:rPr>
                <w:color w:val="000000"/>
              </w:rPr>
              <w:t>111,44</w:t>
            </w:r>
          </w:p>
        </w:tc>
        <w:tc>
          <w:tcPr>
            <w:tcW w:w="1309" w:type="dxa"/>
            <w:tcBorders>
              <w:top w:val="dotted" w:sz="4" w:space="0" w:color="auto"/>
              <w:left w:val="dotted" w:sz="4" w:space="0" w:color="auto"/>
              <w:bottom w:val="dotted" w:sz="4" w:space="0" w:color="auto"/>
              <w:right w:val="dotted" w:sz="4" w:space="0" w:color="auto"/>
            </w:tcBorders>
            <w:noWrap/>
            <w:vAlign w:val="center"/>
            <w:hideMark/>
          </w:tcPr>
          <w:p w14:paraId="007BA5DE" w14:textId="77777777" w:rsidR="007301C6" w:rsidRDefault="007301C6" w:rsidP="00D55610">
            <w:pPr>
              <w:jc w:val="center"/>
              <w:rPr>
                <w:color w:val="000000"/>
              </w:rPr>
            </w:pPr>
            <w:r>
              <w:rPr>
                <w:color w:val="000000"/>
              </w:rPr>
              <w:t>0,1</w:t>
            </w:r>
          </w:p>
        </w:tc>
        <w:tc>
          <w:tcPr>
            <w:tcW w:w="1384" w:type="dxa"/>
            <w:tcBorders>
              <w:top w:val="dotted" w:sz="4" w:space="0" w:color="auto"/>
              <w:left w:val="dotted" w:sz="4" w:space="0" w:color="auto"/>
              <w:bottom w:val="dotted" w:sz="4" w:space="0" w:color="auto"/>
              <w:right w:val="dotted" w:sz="4" w:space="0" w:color="auto"/>
            </w:tcBorders>
            <w:vAlign w:val="center"/>
            <w:hideMark/>
          </w:tcPr>
          <w:p w14:paraId="2296E5FB" w14:textId="77777777" w:rsidR="007301C6" w:rsidRDefault="007301C6" w:rsidP="00D55610">
            <w:pPr>
              <w:jc w:val="center"/>
              <w:rPr>
                <w:color w:val="000000"/>
              </w:rPr>
            </w:pPr>
            <w:r>
              <w:rPr>
                <w:color w:val="000000"/>
              </w:rPr>
              <w:t>-0,2</w:t>
            </w:r>
          </w:p>
        </w:tc>
      </w:tr>
      <w:tr w:rsidR="007301C6" w14:paraId="58803414" w14:textId="77777777" w:rsidTr="00D55610">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14:paraId="5FC0E317" w14:textId="77777777" w:rsidR="007301C6" w:rsidRDefault="007301C6" w:rsidP="00D55610">
            <w:pPr>
              <w:rPr>
                <w:color w:val="000000"/>
              </w:rPr>
            </w:pPr>
            <w:r>
              <w:rPr>
                <w:color w:val="000000"/>
              </w:rPr>
              <w:t>Véhicules de Chantier</w:t>
            </w:r>
          </w:p>
        </w:tc>
        <w:tc>
          <w:tcPr>
            <w:tcW w:w="1276" w:type="dxa"/>
            <w:tcBorders>
              <w:top w:val="dotted" w:sz="4" w:space="0" w:color="auto"/>
              <w:left w:val="dotted" w:sz="4" w:space="0" w:color="auto"/>
              <w:bottom w:val="dotted" w:sz="4" w:space="0" w:color="auto"/>
              <w:right w:val="dotted" w:sz="4" w:space="0" w:color="auto"/>
            </w:tcBorders>
            <w:noWrap/>
            <w:vAlign w:val="center"/>
            <w:hideMark/>
          </w:tcPr>
          <w:p w14:paraId="05D4DCDC" w14:textId="77777777" w:rsidR="007301C6" w:rsidRDefault="007301C6" w:rsidP="00D55610">
            <w:pPr>
              <w:jc w:val="center"/>
              <w:rPr>
                <w:color w:val="000000"/>
              </w:rPr>
            </w:pPr>
            <w:r>
              <w:rPr>
                <w:color w:val="000000"/>
              </w:rPr>
              <w:t>105,27</w:t>
            </w:r>
          </w:p>
        </w:tc>
        <w:tc>
          <w:tcPr>
            <w:tcW w:w="1309" w:type="dxa"/>
            <w:tcBorders>
              <w:top w:val="dotted" w:sz="4" w:space="0" w:color="auto"/>
              <w:left w:val="dotted" w:sz="4" w:space="0" w:color="auto"/>
              <w:bottom w:val="dotted" w:sz="4" w:space="0" w:color="auto"/>
              <w:right w:val="dotted" w:sz="4" w:space="0" w:color="auto"/>
            </w:tcBorders>
            <w:noWrap/>
            <w:vAlign w:val="center"/>
            <w:hideMark/>
          </w:tcPr>
          <w:p w14:paraId="5229AA81" w14:textId="77777777" w:rsidR="007301C6" w:rsidRDefault="007301C6" w:rsidP="00D55610">
            <w:pPr>
              <w:jc w:val="center"/>
              <w:rPr>
                <w:color w:val="000000"/>
              </w:rPr>
            </w:pPr>
            <w:r>
              <w:rPr>
                <w:color w:val="000000"/>
              </w:rPr>
              <w:t>-</w:t>
            </w:r>
          </w:p>
        </w:tc>
        <w:tc>
          <w:tcPr>
            <w:tcW w:w="1384" w:type="dxa"/>
            <w:tcBorders>
              <w:top w:val="dotted" w:sz="4" w:space="0" w:color="auto"/>
              <w:left w:val="dotted" w:sz="4" w:space="0" w:color="auto"/>
              <w:bottom w:val="dotted" w:sz="4" w:space="0" w:color="auto"/>
              <w:right w:val="dotted" w:sz="4" w:space="0" w:color="auto"/>
            </w:tcBorders>
            <w:vAlign w:val="center"/>
            <w:hideMark/>
          </w:tcPr>
          <w:p w14:paraId="237EF4C0" w14:textId="77777777" w:rsidR="007301C6" w:rsidRDefault="007301C6" w:rsidP="00D55610">
            <w:pPr>
              <w:jc w:val="center"/>
              <w:rPr>
                <w:color w:val="000000"/>
              </w:rPr>
            </w:pPr>
            <w:r>
              <w:rPr>
                <w:color w:val="000000"/>
              </w:rPr>
              <w:t>-0,1</w:t>
            </w:r>
          </w:p>
        </w:tc>
      </w:tr>
      <w:tr w:rsidR="007301C6" w14:paraId="3AAF522A" w14:textId="77777777" w:rsidTr="00D55610">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14:paraId="495AC44C" w14:textId="77777777" w:rsidR="007301C6" w:rsidRDefault="007301C6" w:rsidP="00D55610">
            <w:pPr>
              <w:rPr>
                <w:color w:val="000000"/>
              </w:rPr>
            </w:pPr>
            <w:r>
              <w:rPr>
                <w:color w:val="000000"/>
              </w:rPr>
              <w:t>Construction navale en aluminium</w:t>
            </w:r>
          </w:p>
        </w:tc>
        <w:tc>
          <w:tcPr>
            <w:tcW w:w="1276" w:type="dxa"/>
            <w:tcBorders>
              <w:top w:val="dotted" w:sz="4" w:space="0" w:color="auto"/>
              <w:left w:val="dotted" w:sz="4" w:space="0" w:color="auto"/>
              <w:bottom w:val="dotted" w:sz="4" w:space="0" w:color="auto"/>
              <w:right w:val="dotted" w:sz="4" w:space="0" w:color="auto"/>
            </w:tcBorders>
            <w:noWrap/>
            <w:vAlign w:val="center"/>
            <w:hideMark/>
          </w:tcPr>
          <w:p w14:paraId="3A297A11" w14:textId="77777777" w:rsidR="007301C6" w:rsidRDefault="007301C6" w:rsidP="00D55610">
            <w:pPr>
              <w:jc w:val="center"/>
              <w:rPr>
                <w:color w:val="000000"/>
              </w:rPr>
            </w:pPr>
            <w:r>
              <w:rPr>
                <w:color w:val="000000"/>
              </w:rPr>
              <w:t>121,69</w:t>
            </w:r>
          </w:p>
        </w:tc>
        <w:tc>
          <w:tcPr>
            <w:tcW w:w="1309" w:type="dxa"/>
            <w:tcBorders>
              <w:top w:val="dotted" w:sz="4" w:space="0" w:color="auto"/>
              <w:left w:val="dotted" w:sz="4" w:space="0" w:color="auto"/>
              <w:bottom w:val="dotted" w:sz="4" w:space="0" w:color="auto"/>
              <w:right w:val="dotted" w:sz="4" w:space="0" w:color="auto"/>
            </w:tcBorders>
            <w:noWrap/>
            <w:vAlign w:val="center"/>
            <w:hideMark/>
          </w:tcPr>
          <w:p w14:paraId="643CAB93" w14:textId="77777777" w:rsidR="007301C6" w:rsidRDefault="007301C6" w:rsidP="00D55610">
            <w:pPr>
              <w:jc w:val="center"/>
              <w:rPr>
                <w:color w:val="000000"/>
              </w:rPr>
            </w:pPr>
            <w:r>
              <w:rPr>
                <w:color w:val="000000"/>
              </w:rPr>
              <w:t>-0,1</w:t>
            </w:r>
          </w:p>
        </w:tc>
        <w:tc>
          <w:tcPr>
            <w:tcW w:w="1384" w:type="dxa"/>
            <w:tcBorders>
              <w:top w:val="dotted" w:sz="4" w:space="0" w:color="auto"/>
              <w:left w:val="dotted" w:sz="4" w:space="0" w:color="auto"/>
              <w:bottom w:val="dotted" w:sz="4" w:space="0" w:color="auto"/>
              <w:right w:val="dotted" w:sz="4" w:space="0" w:color="auto"/>
            </w:tcBorders>
            <w:noWrap/>
            <w:vAlign w:val="center"/>
            <w:hideMark/>
          </w:tcPr>
          <w:p w14:paraId="068F1899" w14:textId="77777777" w:rsidR="007301C6" w:rsidRDefault="007301C6" w:rsidP="00D55610">
            <w:pPr>
              <w:jc w:val="center"/>
              <w:rPr>
                <w:color w:val="000000"/>
              </w:rPr>
            </w:pPr>
            <w:r>
              <w:rPr>
                <w:color w:val="000000"/>
              </w:rPr>
              <w:t>-2,9</w:t>
            </w:r>
          </w:p>
        </w:tc>
      </w:tr>
      <w:tr w:rsidR="007301C6" w14:paraId="37D3AA43" w14:textId="77777777" w:rsidTr="00D55610">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14:paraId="72EFF204" w14:textId="77777777" w:rsidR="007301C6" w:rsidRDefault="007301C6" w:rsidP="00D55610">
            <w:pPr>
              <w:rPr>
                <w:color w:val="000000"/>
              </w:rPr>
            </w:pPr>
            <w:r>
              <w:rPr>
                <w:color w:val="000000"/>
              </w:rPr>
              <w:t>Fourniture de pièces détachées pour navires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14:paraId="7A247EB5" w14:textId="77777777" w:rsidR="007301C6" w:rsidRDefault="007301C6" w:rsidP="00D55610">
            <w:pPr>
              <w:jc w:val="center"/>
              <w:rPr>
                <w:color w:val="000000"/>
              </w:rPr>
            </w:pPr>
            <w:r>
              <w:rPr>
                <w:color w:val="000000"/>
              </w:rPr>
              <w:t>110,06</w:t>
            </w:r>
          </w:p>
        </w:tc>
        <w:tc>
          <w:tcPr>
            <w:tcW w:w="1309" w:type="dxa"/>
            <w:tcBorders>
              <w:top w:val="dotted" w:sz="4" w:space="0" w:color="auto"/>
              <w:left w:val="dotted" w:sz="4" w:space="0" w:color="auto"/>
              <w:bottom w:val="dotted" w:sz="4" w:space="0" w:color="auto"/>
              <w:right w:val="dotted" w:sz="4" w:space="0" w:color="auto"/>
            </w:tcBorders>
            <w:noWrap/>
            <w:vAlign w:val="center"/>
            <w:hideMark/>
          </w:tcPr>
          <w:p w14:paraId="651DDE50" w14:textId="77777777" w:rsidR="007301C6" w:rsidRDefault="007301C6" w:rsidP="00D55610">
            <w:pPr>
              <w:jc w:val="center"/>
              <w:rPr>
                <w:color w:val="000000"/>
              </w:rPr>
            </w:pPr>
            <w:r>
              <w:rPr>
                <w:color w:val="000000"/>
              </w:rPr>
              <w:t>-</w:t>
            </w:r>
          </w:p>
        </w:tc>
        <w:tc>
          <w:tcPr>
            <w:tcW w:w="1384" w:type="dxa"/>
            <w:tcBorders>
              <w:top w:val="dotted" w:sz="4" w:space="0" w:color="auto"/>
              <w:left w:val="dotted" w:sz="4" w:space="0" w:color="auto"/>
              <w:bottom w:val="dotted" w:sz="4" w:space="0" w:color="auto"/>
              <w:right w:val="dotted" w:sz="4" w:space="0" w:color="auto"/>
            </w:tcBorders>
            <w:noWrap/>
            <w:vAlign w:val="center"/>
            <w:hideMark/>
          </w:tcPr>
          <w:p w14:paraId="45E686F1" w14:textId="77777777" w:rsidR="007301C6" w:rsidRDefault="007301C6" w:rsidP="00D55610">
            <w:pPr>
              <w:jc w:val="center"/>
              <w:rPr>
                <w:color w:val="000000"/>
              </w:rPr>
            </w:pPr>
            <w:r>
              <w:rPr>
                <w:color w:val="000000"/>
              </w:rPr>
              <w:t>-</w:t>
            </w:r>
          </w:p>
        </w:tc>
      </w:tr>
      <w:tr w:rsidR="007301C6" w14:paraId="29B07F81" w14:textId="77777777" w:rsidTr="00D55610">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14:paraId="4E379698" w14:textId="77777777" w:rsidR="007301C6" w:rsidRDefault="007301C6" w:rsidP="00D55610">
            <w:pPr>
              <w:rPr>
                <w:color w:val="000000"/>
              </w:rPr>
            </w:pPr>
            <w:r>
              <w:rPr>
                <w:color w:val="000000"/>
              </w:rPr>
              <w:t>Index des Transports Publics Terrestres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14:paraId="45991F48" w14:textId="77777777" w:rsidR="007301C6" w:rsidRDefault="007301C6" w:rsidP="00D55610">
            <w:pPr>
              <w:jc w:val="center"/>
              <w:rPr>
                <w:color w:val="000000"/>
              </w:rPr>
            </w:pPr>
            <w:r>
              <w:rPr>
                <w:color w:val="000000"/>
              </w:rPr>
              <w:t>105,42</w:t>
            </w:r>
          </w:p>
        </w:tc>
        <w:tc>
          <w:tcPr>
            <w:tcW w:w="1309" w:type="dxa"/>
            <w:tcBorders>
              <w:top w:val="dotted" w:sz="4" w:space="0" w:color="auto"/>
              <w:left w:val="dotted" w:sz="4" w:space="0" w:color="auto"/>
              <w:bottom w:val="dotted" w:sz="4" w:space="0" w:color="auto"/>
              <w:right w:val="dotted" w:sz="4" w:space="0" w:color="auto"/>
            </w:tcBorders>
            <w:noWrap/>
            <w:vAlign w:val="center"/>
            <w:hideMark/>
          </w:tcPr>
          <w:p w14:paraId="1E51F3BC" w14:textId="77777777" w:rsidR="007301C6" w:rsidRDefault="007301C6" w:rsidP="00D55610">
            <w:pPr>
              <w:jc w:val="center"/>
              <w:rPr>
                <w:color w:val="000000"/>
              </w:rPr>
            </w:pPr>
            <w:r>
              <w:rPr>
                <w:color w:val="000000"/>
              </w:rPr>
              <w:t>0,1</w:t>
            </w:r>
          </w:p>
        </w:tc>
        <w:tc>
          <w:tcPr>
            <w:tcW w:w="1384" w:type="dxa"/>
            <w:tcBorders>
              <w:top w:val="dotted" w:sz="4" w:space="0" w:color="auto"/>
              <w:left w:val="dotted" w:sz="4" w:space="0" w:color="auto"/>
              <w:bottom w:val="dotted" w:sz="4" w:space="0" w:color="auto"/>
              <w:right w:val="dotted" w:sz="4" w:space="0" w:color="auto"/>
            </w:tcBorders>
            <w:noWrap/>
            <w:vAlign w:val="center"/>
            <w:hideMark/>
          </w:tcPr>
          <w:p w14:paraId="49004053" w14:textId="77777777" w:rsidR="007301C6" w:rsidRDefault="007301C6" w:rsidP="00D55610">
            <w:pPr>
              <w:jc w:val="center"/>
              <w:rPr>
                <w:color w:val="000000"/>
              </w:rPr>
            </w:pPr>
            <w:r>
              <w:rPr>
                <w:color w:val="000000"/>
              </w:rPr>
              <w:t>-3,5</w:t>
            </w:r>
          </w:p>
        </w:tc>
      </w:tr>
      <w:tr w:rsidR="007301C6" w14:paraId="3A202725" w14:textId="77777777" w:rsidTr="00D55610">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14:paraId="7318390C" w14:textId="77777777" w:rsidR="007301C6" w:rsidRDefault="007301C6" w:rsidP="00D55610">
            <w:pPr>
              <w:rPr>
                <w:color w:val="000000"/>
              </w:rPr>
            </w:pPr>
            <w:r>
              <w:rPr>
                <w:color w:val="000000"/>
              </w:rPr>
              <w:t>Index des Assurances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14:paraId="0351829D" w14:textId="77777777" w:rsidR="007301C6" w:rsidRDefault="007301C6" w:rsidP="00D55610">
            <w:pPr>
              <w:jc w:val="center"/>
              <w:rPr>
                <w:color w:val="000000"/>
              </w:rPr>
            </w:pPr>
            <w:r>
              <w:rPr>
                <w:color w:val="000000"/>
              </w:rPr>
              <w:t>102,58</w:t>
            </w:r>
          </w:p>
        </w:tc>
        <w:tc>
          <w:tcPr>
            <w:tcW w:w="1309" w:type="dxa"/>
            <w:tcBorders>
              <w:top w:val="dotted" w:sz="4" w:space="0" w:color="auto"/>
              <w:left w:val="dotted" w:sz="4" w:space="0" w:color="auto"/>
              <w:bottom w:val="dotted" w:sz="4" w:space="0" w:color="auto"/>
              <w:right w:val="dotted" w:sz="4" w:space="0" w:color="auto"/>
            </w:tcBorders>
            <w:noWrap/>
            <w:vAlign w:val="center"/>
            <w:hideMark/>
          </w:tcPr>
          <w:p w14:paraId="690C813F" w14:textId="77777777" w:rsidR="007301C6" w:rsidRDefault="007301C6" w:rsidP="00D55610">
            <w:pPr>
              <w:jc w:val="center"/>
              <w:rPr>
                <w:color w:val="000000"/>
              </w:rPr>
            </w:pPr>
            <w:r>
              <w:rPr>
                <w:color w:val="000000"/>
              </w:rPr>
              <w:t>-0,3</w:t>
            </w:r>
          </w:p>
        </w:tc>
        <w:tc>
          <w:tcPr>
            <w:tcW w:w="1384" w:type="dxa"/>
            <w:tcBorders>
              <w:top w:val="dotted" w:sz="4" w:space="0" w:color="auto"/>
              <w:left w:val="dotted" w:sz="4" w:space="0" w:color="auto"/>
              <w:bottom w:val="dotted" w:sz="4" w:space="0" w:color="auto"/>
              <w:right w:val="dotted" w:sz="4" w:space="0" w:color="auto"/>
            </w:tcBorders>
            <w:noWrap/>
            <w:vAlign w:val="center"/>
            <w:hideMark/>
          </w:tcPr>
          <w:p w14:paraId="1FC74148" w14:textId="77777777" w:rsidR="007301C6" w:rsidRDefault="007301C6" w:rsidP="00D55610">
            <w:pPr>
              <w:jc w:val="center"/>
              <w:rPr>
                <w:color w:val="000000"/>
              </w:rPr>
            </w:pPr>
            <w:r>
              <w:rPr>
                <w:color w:val="000000"/>
              </w:rPr>
              <w:t>-2,0</w:t>
            </w:r>
          </w:p>
        </w:tc>
      </w:tr>
      <w:tr w:rsidR="007301C6" w14:paraId="37753A5C" w14:textId="77777777" w:rsidTr="00D55610">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14:paraId="7E8A94EC" w14:textId="77777777" w:rsidR="007301C6" w:rsidRDefault="007301C6" w:rsidP="00D55610">
            <w:pPr>
              <w:rPr>
                <w:color w:val="000000"/>
              </w:rPr>
            </w:pPr>
            <w:r>
              <w:rPr>
                <w:color w:val="000000"/>
              </w:rPr>
              <w:t>Index du Transport Aérien International</w:t>
            </w:r>
          </w:p>
        </w:tc>
        <w:tc>
          <w:tcPr>
            <w:tcW w:w="1276" w:type="dxa"/>
            <w:tcBorders>
              <w:top w:val="dotted" w:sz="4" w:space="0" w:color="auto"/>
              <w:left w:val="dotted" w:sz="4" w:space="0" w:color="auto"/>
              <w:bottom w:val="dotted" w:sz="4" w:space="0" w:color="auto"/>
              <w:right w:val="dotted" w:sz="4" w:space="0" w:color="auto"/>
            </w:tcBorders>
            <w:noWrap/>
            <w:vAlign w:val="center"/>
            <w:hideMark/>
          </w:tcPr>
          <w:p w14:paraId="258023D0" w14:textId="77777777" w:rsidR="007301C6" w:rsidRDefault="007301C6" w:rsidP="00D55610">
            <w:pPr>
              <w:jc w:val="center"/>
              <w:rPr>
                <w:color w:val="000000"/>
              </w:rPr>
            </w:pPr>
            <w:r>
              <w:rPr>
                <w:color w:val="000000"/>
              </w:rPr>
              <w:t>94,50</w:t>
            </w:r>
          </w:p>
        </w:tc>
        <w:tc>
          <w:tcPr>
            <w:tcW w:w="1309" w:type="dxa"/>
            <w:tcBorders>
              <w:top w:val="dotted" w:sz="4" w:space="0" w:color="auto"/>
              <w:left w:val="dotted" w:sz="4" w:space="0" w:color="auto"/>
              <w:bottom w:val="dotted" w:sz="4" w:space="0" w:color="auto"/>
              <w:right w:val="dotted" w:sz="4" w:space="0" w:color="auto"/>
            </w:tcBorders>
            <w:noWrap/>
            <w:vAlign w:val="center"/>
            <w:hideMark/>
          </w:tcPr>
          <w:p w14:paraId="3FEAA2A0" w14:textId="77777777" w:rsidR="007301C6" w:rsidRDefault="007301C6" w:rsidP="00D55610">
            <w:pPr>
              <w:jc w:val="center"/>
              <w:rPr>
                <w:color w:val="000000"/>
              </w:rPr>
            </w:pPr>
            <w:r>
              <w:rPr>
                <w:color w:val="000000"/>
              </w:rPr>
              <w:t>0,3</w:t>
            </w:r>
          </w:p>
        </w:tc>
        <w:tc>
          <w:tcPr>
            <w:tcW w:w="1384" w:type="dxa"/>
            <w:tcBorders>
              <w:top w:val="dotted" w:sz="4" w:space="0" w:color="auto"/>
              <w:left w:val="dotted" w:sz="4" w:space="0" w:color="auto"/>
              <w:bottom w:val="dotted" w:sz="4" w:space="0" w:color="auto"/>
              <w:right w:val="dotted" w:sz="4" w:space="0" w:color="auto"/>
            </w:tcBorders>
            <w:noWrap/>
            <w:vAlign w:val="center"/>
            <w:hideMark/>
          </w:tcPr>
          <w:p w14:paraId="276DB994" w14:textId="77777777" w:rsidR="007301C6" w:rsidRDefault="007301C6" w:rsidP="00D55610">
            <w:pPr>
              <w:jc w:val="center"/>
              <w:rPr>
                <w:color w:val="000000"/>
              </w:rPr>
            </w:pPr>
            <w:r>
              <w:rPr>
                <w:color w:val="000000"/>
              </w:rPr>
              <w:t>-1,4</w:t>
            </w:r>
          </w:p>
        </w:tc>
      </w:tr>
    </w:tbl>
    <w:p w14:paraId="0A23C660" w14:textId="77777777" w:rsidR="007301C6" w:rsidRPr="0053719D" w:rsidRDefault="007301C6" w:rsidP="0053719D">
      <w:pPr>
        <w:rPr>
          <w:rFonts w:asciiTheme="majorHAnsi" w:hAnsiTheme="majorHAnsi"/>
          <w:lang w:eastAsia="fr-FR"/>
        </w:rPr>
      </w:pPr>
    </w:p>
    <w:p w14:paraId="0FED5FE1" w14:textId="77777777" w:rsidR="0053719D" w:rsidRPr="0053719D" w:rsidRDefault="0053719D" w:rsidP="0053719D">
      <w:pPr>
        <w:rPr>
          <w:rFonts w:asciiTheme="majorHAnsi" w:hAnsiTheme="majorHAnsi"/>
          <w:lang w:eastAsia="fr-FR"/>
        </w:rPr>
      </w:pPr>
    </w:p>
    <w:p w14:paraId="2A3672D5" w14:textId="67B9F376" w:rsidR="0053719D" w:rsidRDefault="0053719D" w:rsidP="0053719D">
      <w:pPr>
        <w:pStyle w:val="-LettreObjetGEDA"/>
        <w:ind w:left="0" w:firstLine="0"/>
        <w:rPr>
          <w:rFonts w:ascii="Cambria" w:hAnsi="Cambria"/>
          <w:b/>
          <w:bCs/>
          <w:sz w:val="20"/>
        </w:rPr>
      </w:pPr>
      <w:r>
        <w:rPr>
          <w:rFonts w:ascii="Cambria" w:hAnsi="Cambria"/>
          <w:b/>
          <w:bCs/>
        </w:rPr>
        <w:t>Encadrement du suivi à domicile des personnes atteintes de la Covid-19 par les méde</w:t>
      </w:r>
      <w:r w:rsidR="00582CD8">
        <w:rPr>
          <w:rFonts w:ascii="Cambria" w:hAnsi="Cambria"/>
          <w:b/>
          <w:bCs/>
        </w:rPr>
        <w:t>cins et les infirmiers libéraux</w:t>
      </w:r>
    </w:p>
    <w:p w14:paraId="05E020FC" w14:textId="77777777" w:rsidR="0053719D" w:rsidRDefault="0053719D" w:rsidP="0053719D">
      <w:pPr>
        <w:overflowPunct w:val="0"/>
        <w:autoSpaceDE w:val="0"/>
        <w:autoSpaceDN w:val="0"/>
        <w:spacing w:before="120"/>
        <w:jc w:val="both"/>
        <w:rPr>
          <w:rFonts w:ascii="Cambria" w:hAnsi="Cambria"/>
          <w:lang w:eastAsia="fr-FR"/>
        </w:rPr>
      </w:pPr>
    </w:p>
    <w:p w14:paraId="025E2197" w14:textId="77777777" w:rsidR="0053719D" w:rsidRDefault="0053719D" w:rsidP="0053719D">
      <w:pPr>
        <w:overflowPunct w:val="0"/>
        <w:autoSpaceDE w:val="0"/>
        <w:autoSpaceDN w:val="0"/>
        <w:spacing w:before="120"/>
        <w:jc w:val="both"/>
        <w:rPr>
          <w:rFonts w:ascii="Cambria" w:hAnsi="Cambria"/>
        </w:rPr>
      </w:pPr>
      <w:r>
        <w:rPr>
          <w:rFonts w:ascii="Cambria" w:hAnsi="Cambria"/>
        </w:rPr>
        <w:t>Les mesures prises en Conseil des ministres consistent à instaurer, au moins jusqu’au 31 décembre 2020, au bénéfice des patients dont le diagnostic de Covid-19 est posé cliniquement ou biologiquement, la prise en charge à 100 % et en tiers-payant : des visites à domicile effectuées par les médecins généralistes et des actes de soins infirmiers à domicile jugés nécessaires prescrits par un médecin.</w:t>
      </w:r>
    </w:p>
    <w:p w14:paraId="703B609D" w14:textId="1F5F1FEF" w:rsidR="0053719D" w:rsidRDefault="0053719D" w:rsidP="0053719D">
      <w:pPr>
        <w:pStyle w:val="-LettreTexteGEDA"/>
        <w:ind w:firstLine="0"/>
        <w:rPr>
          <w:rFonts w:ascii="Cambria" w:hAnsi="Cambria"/>
        </w:rPr>
      </w:pPr>
      <w:r>
        <w:rPr>
          <w:rFonts w:ascii="Cambria" w:hAnsi="Cambria"/>
        </w:rPr>
        <w:t>Ces mesures permettront à chaque personne de bénéficier des soins adaptés à ses besoins sans crainte de ne pouvoir s’acquitter des sommes demandées. La situation sanitaire déterminera la décision de proposer une proprogation du dispositif au-delà du 31 décembre 2020.</w:t>
      </w:r>
    </w:p>
    <w:p w14:paraId="691DA52A" w14:textId="77777777" w:rsidR="00E44953" w:rsidRDefault="00E44953" w:rsidP="001C6401">
      <w:pPr>
        <w:tabs>
          <w:tab w:val="left" w:pos="1990"/>
          <w:tab w:val="left" w:pos="3880"/>
        </w:tabs>
        <w:spacing w:before="120" w:after="240"/>
        <w:jc w:val="both"/>
        <w:rPr>
          <w:rFonts w:asciiTheme="majorHAnsi" w:hAnsiTheme="majorHAnsi"/>
        </w:rPr>
      </w:pPr>
    </w:p>
    <w:p w14:paraId="67BF33E5" w14:textId="6731B02D" w:rsidR="00E44953" w:rsidRDefault="00E44953" w:rsidP="00E44953">
      <w:pPr>
        <w:pStyle w:val="-LettreObjetGEDA"/>
        <w:ind w:left="0" w:firstLine="0"/>
        <w:rPr>
          <w:rFonts w:ascii="Cambria" w:hAnsi="Cambria"/>
          <w:b/>
          <w:bCs/>
          <w:szCs w:val="24"/>
        </w:rPr>
      </w:pPr>
      <w:r>
        <w:rPr>
          <w:rFonts w:ascii="Cambria" w:hAnsi="Cambria"/>
          <w:b/>
          <w:bCs/>
          <w:szCs w:val="24"/>
        </w:rPr>
        <w:t>Financement d’études</w:t>
      </w:r>
      <w:r w:rsidR="007F18B2">
        <w:rPr>
          <w:rFonts w:ascii="Cambria" w:hAnsi="Cambria"/>
          <w:b/>
          <w:bCs/>
          <w:szCs w:val="24"/>
        </w:rPr>
        <w:t xml:space="preserve"> pour des équipements sportifs: </w:t>
      </w:r>
      <w:r>
        <w:rPr>
          <w:rFonts w:ascii="Cambria" w:hAnsi="Cambria"/>
          <w:b/>
          <w:bCs/>
          <w:szCs w:val="24"/>
        </w:rPr>
        <w:t>subventions d’investissement à l’IJSPF</w:t>
      </w:r>
    </w:p>
    <w:p w14:paraId="2D36D89F" w14:textId="77777777" w:rsidR="00E44953" w:rsidRDefault="00E44953" w:rsidP="00E44953">
      <w:pPr>
        <w:pStyle w:val="-LettreObjetGEDA"/>
        <w:ind w:left="0" w:firstLine="0"/>
        <w:rPr>
          <w:rFonts w:ascii="Cambria" w:hAnsi="Cambria"/>
          <w:b/>
          <w:bCs/>
          <w:szCs w:val="24"/>
        </w:rPr>
      </w:pPr>
    </w:p>
    <w:p w14:paraId="2C210BFA" w14:textId="77777777" w:rsidR="00E44953" w:rsidRDefault="00E44953" w:rsidP="00E44953">
      <w:pPr>
        <w:pStyle w:val="-LettreTexteGEDA"/>
        <w:ind w:firstLine="0"/>
        <w:rPr>
          <w:rFonts w:ascii="Cambria" w:hAnsi="Cambria"/>
          <w:szCs w:val="24"/>
        </w:rPr>
      </w:pPr>
      <w:r>
        <w:rPr>
          <w:rFonts w:ascii="Cambria" w:hAnsi="Cambria"/>
          <w:szCs w:val="24"/>
        </w:rPr>
        <w:t>Le Conseil des ministres a octroyé à l’Institut de la Jeunesse et des Sports de la Polynésie française (IJSPF) plusieurs subventions d’investissement.</w:t>
      </w:r>
    </w:p>
    <w:p w14:paraId="0AD542DA" w14:textId="77777777" w:rsidR="00E44953" w:rsidRDefault="00E44953" w:rsidP="00E44953">
      <w:pPr>
        <w:pStyle w:val="-LettreTexteGEDA"/>
        <w:ind w:firstLine="0"/>
        <w:rPr>
          <w:rFonts w:ascii="Cambria" w:hAnsi="Cambria"/>
          <w:szCs w:val="24"/>
        </w:rPr>
      </w:pPr>
    </w:p>
    <w:p w14:paraId="32724E2F" w14:textId="77777777" w:rsidR="00E44953" w:rsidRDefault="00E44953" w:rsidP="00E44953">
      <w:pPr>
        <w:pStyle w:val="-LettreTexteGEDA"/>
        <w:ind w:firstLine="0"/>
        <w:rPr>
          <w:rFonts w:ascii="Cambria" w:hAnsi="Cambria"/>
          <w:szCs w:val="24"/>
        </w:rPr>
      </w:pPr>
      <w:r>
        <w:rPr>
          <w:rFonts w:ascii="Cambria" w:hAnsi="Cambria"/>
          <w:szCs w:val="24"/>
        </w:rPr>
        <w:lastRenderedPageBreak/>
        <w:t>-une subvention de 5 millions Fcp pour financer les études relatives à la pose de pylônes d’éclairage sur l’unique stade de Moorea, à Afareaitu. Le stade est équipé d’un terrain de football, d’une piste d’athlétisme gazonné et d’une tribune couverte. Ce projet de pose d’éclairage est justifié par un allongement de l’amplitude horaire des activités sportives que le stade accueille. Les différentes écoles, collèges, associations sportives et de jeunesse, mais également le grand public pourront ainsi, à terme, pleinement profiter de cet aménagement.</w:t>
      </w:r>
    </w:p>
    <w:p w14:paraId="662E2243" w14:textId="77777777" w:rsidR="00E44953" w:rsidRDefault="00E44953" w:rsidP="00E44953">
      <w:pPr>
        <w:pStyle w:val="-LettreTexteGEDA"/>
        <w:ind w:firstLine="0"/>
        <w:rPr>
          <w:rFonts w:ascii="Cambria" w:hAnsi="Cambria"/>
          <w:szCs w:val="24"/>
        </w:rPr>
      </w:pPr>
      <w:r>
        <w:rPr>
          <w:rFonts w:ascii="Cambria" w:hAnsi="Cambria"/>
          <w:szCs w:val="24"/>
        </w:rPr>
        <w:t>-une subvention de 15 millions Fcp pour financer les études relatives à la reconstruction du complexe sportif d’Afaahiti. Les travaux concerneront principalement les travaux de reprise des assemblages, la couverture du plateau sportif et la construction d’un nouveau local sanitaires/douches. L’aménagement bénéficiera aux corps sportifs, éducatifs et de jeunesse de Afaahiti.</w:t>
      </w:r>
    </w:p>
    <w:p w14:paraId="12E53F3B" w14:textId="77777777" w:rsidR="00E44953" w:rsidRDefault="00E44953" w:rsidP="00E44953">
      <w:pPr>
        <w:pStyle w:val="-LettreTexteGEDA"/>
        <w:ind w:firstLine="0"/>
        <w:rPr>
          <w:szCs w:val="24"/>
        </w:rPr>
      </w:pPr>
      <w:r>
        <w:rPr>
          <w:rFonts w:ascii="Cambria" w:hAnsi="Cambria"/>
          <w:szCs w:val="24"/>
        </w:rPr>
        <w:t>-une subvention de 25 millions Fcp pour financer les études relatives à la construction d’un complexe sportif à Maupiti. Il s’agira de construire une salle polyvalente de 1056m</w:t>
      </w:r>
      <w:r>
        <w:rPr>
          <w:rFonts w:ascii="Cambria" w:hAnsi="Cambria"/>
          <w:szCs w:val="24"/>
          <w:vertAlign w:val="superscript"/>
        </w:rPr>
        <w:t>2</w:t>
      </w:r>
      <w:r>
        <w:rPr>
          <w:rFonts w:ascii="Cambria" w:hAnsi="Cambria"/>
          <w:szCs w:val="24"/>
        </w:rPr>
        <w:t xml:space="preserve"> pour permettre la pratique du basketball, du volleyball, du handball et du futsal, avec également la construction de blocs sanitaires et de tribunes de 200 places, côté salle et côté terrain de football. </w:t>
      </w:r>
    </w:p>
    <w:p w14:paraId="7FB77A92" w14:textId="77777777" w:rsidR="00E44953" w:rsidRDefault="00E44953" w:rsidP="00E44953"/>
    <w:p w14:paraId="3CE61F76" w14:textId="77777777" w:rsidR="00E44953" w:rsidRDefault="00E44953" w:rsidP="00E44953"/>
    <w:p w14:paraId="530F3B4A" w14:textId="525C7173" w:rsidR="00E44953" w:rsidRDefault="00E44953" w:rsidP="00E44953">
      <w:pPr>
        <w:autoSpaceDE w:val="0"/>
        <w:autoSpaceDN w:val="0"/>
        <w:spacing w:before="240" w:after="240"/>
        <w:jc w:val="both"/>
        <w:rPr>
          <w:rFonts w:ascii="Cambria" w:hAnsi="Cambria"/>
          <w:b/>
          <w:bCs/>
          <w:lang w:val="aa-ET"/>
        </w:rPr>
      </w:pPr>
      <w:r>
        <w:rPr>
          <w:rFonts w:ascii="Cambria" w:hAnsi="Cambria"/>
          <w:b/>
          <w:bCs/>
          <w:lang w:val="aa-ET"/>
        </w:rPr>
        <w:t xml:space="preserve">Création d’un certificat </w:t>
      </w:r>
      <w:r>
        <w:rPr>
          <w:rFonts w:ascii="Cambria" w:hAnsi="Cambria"/>
          <w:b/>
          <w:bCs/>
        </w:rPr>
        <w:t xml:space="preserve">de </w:t>
      </w:r>
      <w:r>
        <w:rPr>
          <w:rFonts w:ascii="Cambria" w:hAnsi="Cambria"/>
          <w:b/>
          <w:bCs/>
          <w:lang w:val="aa-ET"/>
        </w:rPr>
        <w:t>« randonnée à vélo »</w:t>
      </w:r>
    </w:p>
    <w:p w14:paraId="0A62602D" w14:textId="77777777" w:rsidR="00E44953" w:rsidRDefault="00E44953" w:rsidP="00E44953">
      <w:pPr>
        <w:autoSpaceDE w:val="0"/>
        <w:autoSpaceDN w:val="0"/>
        <w:spacing w:before="120"/>
        <w:jc w:val="both"/>
        <w:rPr>
          <w:rFonts w:ascii="Cambria" w:hAnsi="Cambria"/>
          <w:lang w:val="aa-ET"/>
        </w:rPr>
      </w:pPr>
      <w:r>
        <w:rPr>
          <w:rFonts w:ascii="Cambria" w:hAnsi="Cambria"/>
          <w:lang w:val="aa-ET"/>
        </w:rPr>
        <w:t xml:space="preserve">Le Conseil des ministres a adopté, le 27 février dernier, un arrêté portant sur la création et l’organisation du certificat professionnel polynésien d’accompagnateur d’activités physiques de pleine nature, C.P.P.A. A.P.P.N. Ce certificat est délivré au titre d’une mention, dont la première, concernant </w:t>
      </w:r>
      <w:r>
        <w:rPr>
          <w:rFonts w:ascii="Cambria" w:hAnsi="Cambria"/>
          <w:i/>
          <w:iCs/>
          <w:lang w:val="aa-ET"/>
        </w:rPr>
        <w:t xml:space="preserve">« la randonnée aquatique », </w:t>
      </w:r>
      <w:r>
        <w:rPr>
          <w:rFonts w:ascii="Cambria" w:hAnsi="Cambria"/>
          <w:lang w:val="aa-ET"/>
        </w:rPr>
        <w:t xml:space="preserve">plus communément appelée </w:t>
      </w:r>
      <w:r>
        <w:rPr>
          <w:rFonts w:ascii="Cambria" w:hAnsi="Cambria"/>
          <w:i/>
          <w:iCs/>
          <w:lang w:val="aa-ET"/>
        </w:rPr>
        <w:t xml:space="preserve">« snorkeling », </w:t>
      </w:r>
      <w:r>
        <w:rPr>
          <w:rFonts w:ascii="Cambria" w:hAnsi="Cambria"/>
          <w:lang w:val="aa-ET"/>
        </w:rPr>
        <w:t xml:space="preserve">a été créée par arrêté du Conseil des ministres, datant du 7 juillet dernier. </w:t>
      </w:r>
    </w:p>
    <w:p w14:paraId="7B104D1A" w14:textId="77777777" w:rsidR="00E44953" w:rsidRDefault="00E44953" w:rsidP="00E44953">
      <w:pPr>
        <w:autoSpaceDE w:val="0"/>
        <w:autoSpaceDN w:val="0"/>
        <w:spacing w:before="120"/>
        <w:jc w:val="both"/>
        <w:rPr>
          <w:rFonts w:ascii="Cambria" w:hAnsi="Cambria"/>
          <w:lang w:val="aa-ET"/>
        </w:rPr>
      </w:pPr>
      <w:r>
        <w:rPr>
          <w:rFonts w:ascii="Cambria" w:hAnsi="Cambria"/>
          <w:lang w:val="aa-ET"/>
        </w:rPr>
        <w:t xml:space="preserve">Depuis plusieurs mois, la direction de la jeunesse des sports </w:t>
      </w:r>
      <w:r>
        <w:rPr>
          <w:rFonts w:ascii="Cambria" w:hAnsi="Cambria"/>
        </w:rPr>
        <w:t xml:space="preserve">(DJS) </w:t>
      </w:r>
      <w:r>
        <w:rPr>
          <w:rFonts w:ascii="Cambria" w:hAnsi="Cambria"/>
          <w:lang w:val="aa-ET"/>
        </w:rPr>
        <w:t>observe avec attention le développement d’une activité sportive en particulier : le « vélo tout-terrain », dont la pratique connaît un regain d’intérêt depuis la commercialisation, sur le Fenua, des vélos à assistance électrique, ou V.A.E. En effet, ces vélos offrent de nouvelles perspectives de découverte de l’environnement naturel de la Polynésie française, en permettant, notamment, de parcourir, sans effort excessif, le littoral, les vallées et les zones montagneuses, parfois difficilement accessibles en raison de la topographie de nos îles.</w:t>
      </w:r>
    </w:p>
    <w:p w14:paraId="3B6AC579" w14:textId="77777777" w:rsidR="00E44953" w:rsidRDefault="00E44953" w:rsidP="00E44953">
      <w:pPr>
        <w:autoSpaceDE w:val="0"/>
        <w:autoSpaceDN w:val="0"/>
        <w:spacing w:before="120"/>
        <w:jc w:val="both"/>
        <w:rPr>
          <w:rFonts w:ascii="Cambria" w:hAnsi="Cambria"/>
          <w:color w:val="000000"/>
          <w:lang w:val="aa-ET"/>
        </w:rPr>
      </w:pPr>
      <w:r>
        <w:rPr>
          <w:rFonts w:ascii="Cambria" w:hAnsi="Cambria"/>
          <w:color w:val="000000"/>
          <w:lang w:val="aa-ET"/>
        </w:rPr>
        <w:t xml:space="preserve">De nombreux prestataires se sont organisés pour proposer l’encadrement de l’activité, principalement auprès du public touristique, sans détenir </w:t>
      </w:r>
      <w:r>
        <w:rPr>
          <w:rFonts w:ascii="Cambria" w:hAnsi="Cambria"/>
          <w:color w:val="000000"/>
        </w:rPr>
        <w:t xml:space="preserve">pour autant </w:t>
      </w:r>
      <w:r>
        <w:rPr>
          <w:rFonts w:ascii="Cambria" w:hAnsi="Cambria"/>
          <w:color w:val="000000"/>
          <w:lang w:val="aa-ET"/>
        </w:rPr>
        <w:t>de qualification. On retrouve ici les conditions qui ont prévalu à la création du C.P.P.A. A.P.P.N. : un encadrement qui n’est pas formé, occasionnant des problèmes d’assurance et de sécurité de l’activité. Dans ce contexte, la création d’une mention « randonnée à vélo » du C.P.P.A. A.P.P.N. prend donc tout son sens.</w:t>
      </w:r>
    </w:p>
    <w:p w14:paraId="0A268382" w14:textId="77777777" w:rsidR="00E44953" w:rsidRDefault="00E44953" w:rsidP="00E44953">
      <w:pPr>
        <w:spacing w:before="120"/>
        <w:jc w:val="both"/>
        <w:rPr>
          <w:rFonts w:ascii="Cambria" w:hAnsi="Cambria"/>
          <w:color w:val="000000"/>
          <w:lang w:val="aa-ET"/>
        </w:rPr>
      </w:pPr>
      <w:r>
        <w:rPr>
          <w:rFonts w:ascii="Cambria" w:hAnsi="Cambria"/>
          <w:color w:val="000000"/>
          <w:lang w:val="aa-ET"/>
        </w:rPr>
        <w:t>L’arrêté portant sur la création et l’organisation de la mention « randonnée à vélo » du C.P.P.A. A.P.P.N. précise les prérogatives du titulaire de ce certificat</w:t>
      </w:r>
      <w:r>
        <w:rPr>
          <w:rFonts w:ascii="Cambria" w:hAnsi="Cambria"/>
          <w:color w:val="000000"/>
        </w:rPr>
        <w:t>,</w:t>
      </w:r>
      <w:r>
        <w:rPr>
          <w:rFonts w:ascii="Cambria" w:hAnsi="Cambria"/>
          <w:color w:val="000000"/>
          <w:lang w:val="aa-ET"/>
        </w:rPr>
        <w:t xml:space="preserve"> les exigences préalables à l'entrée en formation et les modalités et </w:t>
      </w:r>
      <w:r>
        <w:rPr>
          <w:rFonts w:ascii="Cambria" w:hAnsi="Cambria"/>
          <w:color w:val="000000"/>
        </w:rPr>
        <w:t xml:space="preserve">les </w:t>
      </w:r>
      <w:r>
        <w:rPr>
          <w:rFonts w:ascii="Cambria" w:hAnsi="Cambria"/>
          <w:color w:val="000000"/>
          <w:lang w:val="aa-ET"/>
        </w:rPr>
        <w:t>conditions d’organisation des épreuves de certification.</w:t>
      </w:r>
    </w:p>
    <w:p w14:paraId="028FCFD2" w14:textId="77777777" w:rsidR="00E44953" w:rsidRDefault="00E44953" w:rsidP="00E44953">
      <w:pPr>
        <w:autoSpaceDE w:val="0"/>
        <w:autoSpaceDN w:val="0"/>
        <w:spacing w:before="120"/>
        <w:jc w:val="both"/>
        <w:rPr>
          <w:rFonts w:ascii="Cambria" w:hAnsi="Cambria"/>
          <w:lang w:val="aa-ET"/>
        </w:rPr>
      </w:pPr>
      <w:r>
        <w:rPr>
          <w:rFonts w:ascii="Cambria" w:hAnsi="Cambria"/>
        </w:rPr>
        <w:t>Le</w:t>
      </w:r>
      <w:r>
        <w:rPr>
          <w:rFonts w:ascii="Cambria" w:hAnsi="Cambria"/>
          <w:lang w:val="aa-ET"/>
        </w:rPr>
        <w:t xml:space="preserve"> projet d’arrêté a fait l’objet d’une consultation des partenaires sociaux le 4 juin dernier, conformément aux dispositions réglementaires en vigueur, prévues par le code du travail, </w:t>
      </w:r>
      <w:r>
        <w:rPr>
          <w:rFonts w:ascii="Cambria" w:hAnsi="Cambria"/>
          <w:lang w:val="aa-ET"/>
        </w:rPr>
        <w:lastRenderedPageBreak/>
        <w:t xml:space="preserve">et de la Fédération tahitienne de cyclisme le 3 juillet </w:t>
      </w:r>
      <w:r>
        <w:rPr>
          <w:rFonts w:ascii="Cambria" w:hAnsi="Cambria"/>
        </w:rPr>
        <w:t>dernier</w:t>
      </w:r>
      <w:r>
        <w:rPr>
          <w:rFonts w:ascii="Cambria" w:hAnsi="Cambria"/>
          <w:lang w:val="aa-ET"/>
        </w:rPr>
        <w:t xml:space="preserve">. Ces réunions ont donné lieu à des échanges </w:t>
      </w:r>
      <w:r>
        <w:rPr>
          <w:rFonts w:ascii="Cambria" w:hAnsi="Cambria"/>
        </w:rPr>
        <w:t>précieux</w:t>
      </w:r>
      <w:r>
        <w:rPr>
          <w:rFonts w:ascii="Cambria" w:hAnsi="Cambria"/>
          <w:lang w:val="aa-ET"/>
        </w:rPr>
        <w:t>, à l’issue desquels les acteurs ont salué la création de cette mention du C.P.P.A. A.P.P.N., qui constitue une réponse adaptée à la nécessaire professionnalisation des encadrants du secteur. L’Institut de la jeunesse et des sports de Polynésie française prévoit</w:t>
      </w:r>
      <w:r>
        <w:rPr>
          <w:rFonts w:ascii="Cambria" w:hAnsi="Cambria"/>
        </w:rPr>
        <w:t xml:space="preserve">, </w:t>
      </w:r>
      <w:r>
        <w:rPr>
          <w:rFonts w:ascii="Cambria" w:hAnsi="Cambria"/>
          <w:lang w:val="aa-ET"/>
        </w:rPr>
        <w:t xml:space="preserve">dès </w:t>
      </w:r>
      <w:r>
        <w:rPr>
          <w:rFonts w:ascii="Cambria" w:hAnsi="Cambria"/>
        </w:rPr>
        <w:t xml:space="preserve">la </w:t>
      </w:r>
      <w:r>
        <w:rPr>
          <w:rFonts w:ascii="Cambria" w:hAnsi="Cambria"/>
          <w:lang w:val="aa-ET"/>
        </w:rPr>
        <w:t>créatio</w:t>
      </w:r>
      <w:r>
        <w:rPr>
          <w:rFonts w:ascii="Cambria" w:hAnsi="Cambria"/>
        </w:rPr>
        <w:t>n de ce certificat</w:t>
      </w:r>
      <w:r>
        <w:rPr>
          <w:rFonts w:ascii="Cambria" w:hAnsi="Cambria"/>
          <w:lang w:val="aa-ET"/>
        </w:rPr>
        <w:t xml:space="preserve">, de mettre en œuvre une première formation conduisant à cette qualification, </w:t>
      </w:r>
    </w:p>
    <w:p w14:paraId="31561F2A" w14:textId="77777777" w:rsidR="00E44953" w:rsidRDefault="00E44953" w:rsidP="001C6401">
      <w:pPr>
        <w:tabs>
          <w:tab w:val="left" w:pos="1990"/>
          <w:tab w:val="left" w:pos="3880"/>
        </w:tabs>
        <w:spacing w:before="120" w:after="240"/>
        <w:jc w:val="both"/>
        <w:rPr>
          <w:rFonts w:asciiTheme="majorHAnsi" w:hAnsiTheme="majorHAnsi"/>
        </w:rPr>
      </w:pPr>
    </w:p>
    <w:p w14:paraId="45DB441B" w14:textId="01F40AFC" w:rsidR="00693C91" w:rsidRDefault="00693C91" w:rsidP="00693C91">
      <w:pPr>
        <w:widowControl w:val="0"/>
        <w:autoSpaceDE w:val="0"/>
        <w:autoSpaceDN w:val="0"/>
        <w:adjustRightInd w:val="0"/>
        <w:spacing w:before="240" w:after="240"/>
        <w:jc w:val="both"/>
        <w:rPr>
          <w:rFonts w:ascii="Cambria" w:hAnsi="Cambria" w:cs="Century Schoolbook"/>
          <w:b/>
          <w:color w:val="FF0000"/>
        </w:rPr>
      </w:pPr>
      <w:r>
        <w:rPr>
          <w:rFonts w:ascii="Cambria" w:hAnsi="Cambria" w:cs="Century Schoolbook"/>
          <w:b/>
        </w:rPr>
        <w:t xml:space="preserve">Application de l’aide au </w:t>
      </w:r>
      <w:r w:rsidR="00582CD8">
        <w:rPr>
          <w:rFonts w:ascii="Cambria" w:hAnsi="Cambria" w:cs="Century Schoolbook"/>
          <w:b/>
        </w:rPr>
        <w:t>f</w:t>
      </w:r>
      <w:r>
        <w:rPr>
          <w:rFonts w:ascii="Cambria" w:hAnsi="Cambria" w:cs="Century Schoolbook"/>
          <w:b/>
        </w:rPr>
        <w:t>i</w:t>
      </w:r>
      <w:r w:rsidR="00582CD8">
        <w:rPr>
          <w:rFonts w:ascii="Cambria" w:hAnsi="Cambria" w:cs="Century Schoolbook"/>
          <w:b/>
        </w:rPr>
        <w:t>nancement du permis de conduire</w:t>
      </w:r>
    </w:p>
    <w:p w14:paraId="07D09D19" w14:textId="01FEC572" w:rsidR="00693C91" w:rsidRPr="00582CD8" w:rsidRDefault="005419C1" w:rsidP="004F7167">
      <w:pPr>
        <w:tabs>
          <w:tab w:val="left" w:pos="1843"/>
        </w:tabs>
        <w:jc w:val="both"/>
        <w:rPr>
          <w:rFonts w:ascii="Cambria" w:hAnsi="Cambria"/>
          <w:color w:val="000000"/>
        </w:rPr>
      </w:pPr>
      <w:r w:rsidRPr="00582CD8">
        <w:rPr>
          <w:rFonts w:ascii="Cambria" w:eastAsia="Calibri" w:hAnsi="Cambria"/>
          <w:color w:val="000000"/>
        </w:rPr>
        <w:t>L</w:t>
      </w:r>
      <w:r w:rsidR="00693C91" w:rsidRPr="00582CD8">
        <w:rPr>
          <w:rFonts w:ascii="Cambria" w:eastAsia="Calibri" w:hAnsi="Cambria"/>
          <w:color w:val="000000"/>
        </w:rPr>
        <w:t xml:space="preserve">e </w:t>
      </w:r>
      <w:r w:rsidR="00582CD8" w:rsidRPr="00582CD8">
        <w:rPr>
          <w:rFonts w:ascii="Cambria" w:eastAsia="Calibri" w:hAnsi="Cambria"/>
          <w:color w:val="000000"/>
        </w:rPr>
        <w:t>C</w:t>
      </w:r>
      <w:r w:rsidR="00693C91" w:rsidRPr="00582CD8">
        <w:rPr>
          <w:rFonts w:ascii="Cambria" w:eastAsia="Calibri" w:hAnsi="Cambria"/>
          <w:color w:val="000000"/>
        </w:rPr>
        <w:t xml:space="preserve">onseil des ministres </w:t>
      </w:r>
      <w:r w:rsidR="00693C91" w:rsidRPr="00582CD8">
        <w:rPr>
          <w:rFonts w:ascii="Cambria" w:hAnsi="Cambria"/>
          <w:color w:val="000000"/>
        </w:rPr>
        <w:t xml:space="preserve">a adopté la modification de l’arrêté d’application de la loi du Pays du 5 décembre 2019 relative à l’aide au financement du permis de conduire. </w:t>
      </w:r>
    </w:p>
    <w:p w14:paraId="69278106" w14:textId="77777777" w:rsidR="00693C91" w:rsidRPr="00E6211F" w:rsidRDefault="00693C91" w:rsidP="004F7167">
      <w:pPr>
        <w:tabs>
          <w:tab w:val="left" w:pos="1843"/>
        </w:tabs>
        <w:spacing w:before="120"/>
        <w:jc w:val="both"/>
        <w:rPr>
          <w:rFonts w:ascii="Cambria" w:hAnsi="Cambria"/>
        </w:rPr>
      </w:pPr>
      <w:r w:rsidRPr="00E6211F">
        <w:rPr>
          <w:rFonts w:ascii="Cambria" w:hAnsi="Cambria"/>
        </w:rPr>
        <w:t xml:space="preserve">Suite au retour d’expérience de la première session d’attribution des aides au financement du permis de conduire ouverte en 2020 et compte tenu du contexte sanitaire actuel, des ajustements sur les modalités d’application du dispositif concerné sont apparus nécessaires. </w:t>
      </w:r>
    </w:p>
    <w:p w14:paraId="2B8DC52F" w14:textId="78409524" w:rsidR="00693C91" w:rsidRPr="00E6211F" w:rsidRDefault="00693C91" w:rsidP="004F7167">
      <w:pPr>
        <w:widowControl w:val="0"/>
        <w:autoSpaceDE w:val="0"/>
        <w:autoSpaceDN w:val="0"/>
        <w:adjustRightInd w:val="0"/>
        <w:spacing w:before="120" w:after="120"/>
        <w:jc w:val="both"/>
        <w:rPr>
          <w:rFonts w:ascii="Cambria" w:hAnsi="Cambria"/>
          <w:color w:val="000000"/>
        </w:rPr>
      </w:pPr>
      <w:r w:rsidRPr="00E6211F">
        <w:rPr>
          <w:rFonts w:ascii="Cambria" w:hAnsi="Cambria"/>
          <w:color w:val="000000"/>
        </w:rPr>
        <w:t>D’une part</w:t>
      </w:r>
      <w:r w:rsidR="00582CD8">
        <w:rPr>
          <w:rFonts w:ascii="Cambria" w:hAnsi="Cambria"/>
          <w:color w:val="000000"/>
        </w:rPr>
        <w:t>,</w:t>
      </w:r>
      <w:r w:rsidRPr="00E6211F">
        <w:rPr>
          <w:rFonts w:ascii="Cambria" w:hAnsi="Cambria"/>
          <w:color w:val="000000"/>
        </w:rPr>
        <w:t xml:space="preserve"> et afin de répondre aux exigences sanitaires, la dématérialisation des demandes d’aide sera désormais possible ainsi que le report ou l’annulation des sessions d’attribution des aides en cas de nécessité. </w:t>
      </w:r>
      <w:bookmarkStart w:id="0" w:name="_GoBack"/>
      <w:bookmarkEnd w:id="0"/>
    </w:p>
    <w:p w14:paraId="78D2552B" w14:textId="77777777" w:rsidR="00693C91" w:rsidRPr="00E6211F" w:rsidRDefault="00693C91" w:rsidP="004F7167">
      <w:pPr>
        <w:widowControl w:val="0"/>
        <w:autoSpaceDE w:val="0"/>
        <w:autoSpaceDN w:val="0"/>
        <w:adjustRightInd w:val="0"/>
        <w:spacing w:before="120" w:after="120"/>
        <w:jc w:val="both"/>
        <w:rPr>
          <w:rFonts w:ascii="Cambria" w:hAnsi="Cambria"/>
          <w:color w:val="000000"/>
        </w:rPr>
      </w:pPr>
      <w:r w:rsidRPr="00E6211F">
        <w:rPr>
          <w:rFonts w:ascii="Cambria" w:hAnsi="Cambria"/>
          <w:color w:val="000000"/>
        </w:rPr>
        <w:t xml:space="preserve">D’autre part, des précisions ont été apportées en matière de périodes et de délais relatifs aux demandes de suspension de l’aide et de prorogation exceptionnelle pour l’inscription dans un des établissements d’enseignement de la conduite conventionné ainsi qu’en matière de formation. </w:t>
      </w:r>
    </w:p>
    <w:p w14:paraId="6664172C" w14:textId="735FC578" w:rsidR="00E6211F" w:rsidRPr="00582CD8" w:rsidRDefault="00693C91" w:rsidP="004F7167">
      <w:pPr>
        <w:widowControl w:val="0"/>
        <w:autoSpaceDE w:val="0"/>
        <w:autoSpaceDN w:val="0"/>
        <w:adjustRightInd w:val="0"/>
        <w:spacing w:before="120" w:after="120"/>
        <w:jc w:val="both"/>
        <w:rPr>
          <w:rFonts w:ascii="Cambria" w:hAnsi="Cambria"/>
          <w:color w:val="000000"/>
        </w:rPr>
      </w:pPr>
      <w:r w:rsidRPr="00E6211F">
        <w:rPr>
          <w:rFonts w:ascii="Cambria" w:hAnsi="Cambria"/>
          <w:color w:val="000000"/>
        </w:rPr>
        <w:t>Enfin, les manquements en cas de non-respect de l’interdiction de débuter une formation avant la remise du livret d’apprentissage et celui de débuter les heures de conduite avant l’obtention du « code » par l’élève ont également fait l’objet d’une précision afin de rappeler aux partenaires du présent dispositif la nécessité de garantir une formation de qualité ainsi que la sécurité juridique et financières des parties.</w:t>
      </w:r>
    </w:p>
    <w:p w14:paraId="0423605A" w14:textId="77777777" w:rsidR="00E6211F" w:rsidRDefault="00E6211F" w:rsidP="004F7167">
      <w:pPr>
        <w:widowControl w:val="0"/>
        <w:autoSpaceDE w:val="0"/>
        <w:autoSpaceDN w:val="0"/>
        <w:adjustRightInd w:val="0"/>
        <w:spacing w:before="120" w:after="120"/>
        <w:jc w:val="both"/>
        <w:rPr>
          <w:color w:val="000000"/>
        </w:rPr>
      </w:pPr>
    </w:p>
    <w:p w14:paraId="6DAC3CE2" w14:textId="77777777" w:rsidR="00227DAE" w:rsidRDefault="00227DAE" w:rsidP="001C6401">
      <w:pPr>
        <w:pStyle w:val="-LettreTexteGEDA"/>
        <w:ind w:firstLine="0"/>
        <w:rPr>
          <w:rFonts w:ascii="Cambria" w:hAnsi="Cambria"/>
          <w:b/>
          <w:szCs w:val="24"/>
        </w:rPr>
      </w:pPr>
    </w:p>
    <w:p w14:paraId="03C9DA50" w14:textId="77777777" w:rsidR="004064CE" w:rsidRDefault="004064CE" w:rsidP="001C6401">
      <w:pPr>
        <w:pStyle w:val="-LettreTexteGEDA"/>
        <w:ind w:firstLine="0"/>
        <w:rPr>
          <w:rFonts w:ascii="Cambria" w:hAnsi="Cambria"/>
          <w:b/>
          <w:szCs w:val="24"/>
        </w:rPr>
      </w:pPr>
    </w:p>
    <w:p w14:paraId="46A301B0" w14:textId="77777777" w:rsidR="004064CE" w:rsidRDefault="004064CE" w:rsidP="001C6401">
      <w:pPr>
        <w:pStyle w:val="-LettreTexteGEDA"/>
        <w:ind w:firstLine="0"/>
        <w:rPr>
          <w:rFonts w:ascii="Cambria" w:hAnsi="Cambria"/>
          <w:b/>
          <w:szCs w:val="24"/>
        </w:rPr>
      </w:pPr>
    </w:p>
    <w:p w14:paraId="03A8AE6E" w14:textId="77777777" w:rsidR="008059E4" w:rsidRPr="00DA69B1" w:rsidRDefault="00264EF2" w:rsidP="00CD5D5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D97C8" w14:textId="77777777" w:rsidR="00F878E9" w:rsidRDefault="00F878E9">
      <w:r>
        <w:separator/>
      </w:r>
    </w:p>
  </w:endnote>
  <w:endnote w:type="continuationSeparator" w:id="0">
    <w:p w14:paraId="70ECF0E2" w14:textId="77777777" w:rsidR="00F878E9" w:rsidRDefault="00F8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B7BE2" w14:textId="77777777" w:rsidR="00642DA2" w:rsidRDefault="00642DA2"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55C70C1" w14:textId="77777777" w:rsidR="00642DA2" w:rsidRDefault="00F878E9" w:rsidP="00922ABB">
    <w:pPr>
      <w:pStyle w:val="Pieddepage"/>
      <w:ind w:right="360"/>
    </w:pPr>
    <w:sdt>
      <w:sdtPr>
        <w:id w:val="969400743"/>
        <w:temporary/>
        <w:showingPlcHdr/>
      </w:sdtPr>
      <w:sdtEndPr/>
      <w:sdtContent>
        <w:r w:rsidR="00642DA2">
          <w:t>[Tapez le texte]</w:t>
        </w:r>
      </w:sdtContent>
    </w:sdt>
    <w:r w:rsidR="00642DA2">
      <w:ptab w:relativeTo="margin" w:alignment="center" w:leader="none"/>
    </w:r>
    <w:sdt>
      <w:sdtPr>
        <w:id w:val="969400748"/>
        <w:temporary/>
        <w:showingPlcHdr/>
      </w:sdtPr>
      <w:sdtEndPr/>
      <w:sdtContent>
        <w:r w:rsidR="00642DA2">
          <w:t>[Tapez le texte]</w:t>
        </w:r>
      </w:sdtContent>
    </w:sdt>
    <w:r w:rsidR="00642DA2">
      <w:ptab w:relativeTo="margin" w:alignment="right" w:leader="none"/>
    </w:r>
    <w:sdt>
      <w:sdtPr>
        <w:id w:val="969400753"/>
        <w:temporary/>
        <w:showingPlcHdr/>
      </w:sdtPr>
      <w:sdtEndPr/>
      <w:sdtContent>
        <w:r w:rsidR="00642DA2">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E3C85" w14:textId="77777777" w:rsidR="00642DA2" w:rsidRPr="00BA209E" w:rsidRDefault="00642DA2" w:rsidP="00922ABB">
    <w:pPr>
      <w:pStyle w:val="Pieddepage"/>
      <w:jc w:val="center"/>
      <w:rPr>
        <w:i/>
        <w:sz w:val="20"/>
        <w:szCs w:val="20"/>
      </w:rPr>
    </w:pPr>
    <w:r w:rsidRPr="00BA209E">
      <w:rPr>
        <w:i/>
        <w:sz w:val="20"/>
        <w:szCs w:val="20"/>
      </w:rPr>
      <w:t>Présidence de la Polynésie Française</w:t>
    </w:r>
  </w:p>
  <w:p w14:paraId="62A464A6" w14:textId="77777777" w:rsidR="00642DA2" w:rsidRPr="00BA209E" w:rsidRDefault="00642DA2" w:rsidP="00922ABB">
    <w:pPr>
      <w:pStyle w:val="Pieddepage"/>
      <w:jc w:val="center"/>
      <w:rPr>
        <w:i/>
        <w:sz w:val="20"/>
        <w:szCs w:val="20"/>
      </w:rPr>
    </w:pPr>
    <w:r w:rsidRPr="00BA209E">
      <w:rPr>
        <w:i/>
        <w:sz w:val="20"/>
        <w:szCs w:val="20"/>
      </w:rPr>
      <w:t xml:space="preserve">Service </w:t>
    </w:r>
    <w:r>
      <w:rPr>
        <w:i/>
        <w:sz w:val="20"/>
        <w:szCs w:val="20"/>
      </w:rPr>
      <w:t>de la communication</w:t>
    </w:r>
  </w:p>
  <w:p w14:paraId="57B62632" w14:textId="77777777" w:rsidR="00642DA2" w:rsidRPr="00BA209E" w:rsidRDefault="00F878E9" w:rsidP="00922ABB">
    <w:pPr>
      <w:pStyle w:val="Pieddepage"/>
      <w:jc w:val="center"/>
      <w:rPr>
        <w:sz w:val="20"/>
        <w:szCs w:val="20"/>
      </w:rPr>
    </w:pPr>
    <w:hyperlink r:id="rId1" w:history="1">
      <w:r w:rsidR="00642DA2" w:rsidRPr="00E264FC">
        <w:rPr>
          <w:rStyle w:val="Lienhypertexte"/>
          <w:sz w:val="20"/>
        </w:rPr>
        <w:t>communication@presidence.pf</w:t>
      </w:r>
    </w:hyperlink>
    <w:r w:rsidR="00642DA2" w:rsidRPr="00BA209E">
      <w:rPr>
        <w:sz w:val="20"/>
        <w:szCs w:val="20"/>
      </w:rPr>
      <w:t xml:space="preserve"> – </w:t>
    </w:r>
    <w:r w:rsidR="00642DA2">
      <w:rPr>
        <w:sz w:val="20"/>
        <w:szCs w:val="20"/>
      </w:rPr>
      <w:t xml:space="preserve">40 </w:t>
    </w:r>
    <w:r w:rsidR="00642DA2" w:rsidRPr="00BA209E">
      <w:rPr>
        <w:sz w:val="20"/>
        <w:szCs w:val="20"/>
      </w:rPr>
      <w:t>47 20 00</w:t>
    </w:r>
  </w:p>
  <w:p w14:paraId="01E4299B" w14:textId="77777777" w:rsidR="00642DA2" w:rsidRDefault="00642D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038BD" w14:textId="77777777" w:rsidR="00F878E9" w:rsidRDefault="00F878E9">
      <w:r>
        <w:separator/>
      </w:r>
    </w:p>
  </w:footnote>
  <w:footnote w:type="continuationSeparator" w:id="0">
    <w:p w14:paraId="3C81708D" w14:textId="77777777" w:rsidR="00F878E9" w:rsidRDefault="00F87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1581"/>
    <w:multiLevelType w:val="hybridMultilevel"/>
    <w:tmpl w:val="42BEE41A"/>
    <w:lvl w:ilvl="0" w:tplc="899454E4">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nsid w:val="097909AA"/>
    <w:multiLevelType w:val="hybridMultilevel"/>
    <w:tmpl w:val="CE040A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C15ECF"/>
    <w:multiLevelType w:val="singleLevel"/>
    <w:tmpl w:val="83CCB92C"/>
    <w:lvl w:ilvl="0">
      <w:start w:val="1"/>
      <w:numFmt w:val="none"/>
      <w:pStyle w:val="Titre4"/>
      <w:lvlText w:val="Réf. : "/>
      <w:legacy w:legacy="1" w:legacySpace="0" w:legacyIndent="851"/>
      <w:lvlJc w:val="left"/>
      <w:pPr>
        <w:ind w:left="851" w:hanging="851"/>
      </w:pPr>
      <w:rPr>
        <w:b/>
        <w:i w:val="0"/>
        <w:sz w:val="24"/>
        <w:u w:val="single"/>
      </w:rPr>
    </w:lvl>
  </w:abstractNum>
  <w:abstractNum w:abstractNumId="3">
    <w:nsid w:val="14762F7A"/>
    <w:multiLevelType w:val="hybridMultilevel"/>
    <w:tmpl w:val="EE34F0C2"/>
    <w:lvl w:ilvl="0" w:tplc="22DA8A4C">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21E472A9"/>
    <w:multiLevelType w:val="hybridMultilevel"/>
    <w:tmpl w:val="3DE0258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nsid w:val="270A6439"/>
    <w:multiLevelType w:val="hybridMultilevel"/>
    <w:tmpl w:val="80BADE10"/>
    <w:lvl w:ilvl="0" w:tplc="B874B9B2">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6">
    <w:nsid w:val="2AD2756B"/>
    <w:multiLevelType w:val="hybridMultilevel"/>
    <w:tmpl w:val="803E2B0C"/>
    <w:lvl w:ilvl="0" w:tplc="06B0D4CE">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nsid w:val="2F033B37"/>
    <w:multiLevelType w:val="hybridMultilevel"/>
    <w:tmpl w:val="C3763D74"/>
    <w:styleLink w:val="Style9import"/>
    <w:lvl w:ilvl="0" w:tplc="D48EF734">
      <w:start w:val="1"/>
      <w:numFmt w:val="bullet"/>
      <w:lvlText w:val="-"/>
      <w:lvlJc w:val="left"/>
      <w:pPr>
        <w:tabs>
          <w:tab w:val="num" w:pos="1778"/>
        </w:tabs>
        <w:ind w:left="10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58A468">
      <w:start w:val="1"/>
      <w:numFmt w:val="bullet"/>
      <w:lvlText w:val="o"/>
      <w:lvlJc w:val="left"/>
      <w:pPr>
        <w:tabs>
          <w:tab w:val="num" w:pos="2498"/>
        </w:tabs>
        <w:ind w:left="17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28DBB0">
      <w:start w:val="1"/>
      <w:numFmt w:val="bullet"/>
      <w:lvlText w:val="▪"/>
      <w:lvlJc w:val="left"/>
      <w:pPr>
        <w:tabs>
          <w:tab w:val="num" w:pos="3218"/>
        </w:tabs>
        <w:ind w:left="25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46B6A">
      <w:start w:val="1"/>
      <w:numFmt w:val="bullet"/>
      <w:lvlText w:val="•"/>
      <w:lvlJc w:val="left"/>
      <w:pPr>
        <w:tabs>
          <w:tab w:val="num" w:pos="3938"/>
        </w:tabs>
        <w:ind w:left="32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3C131E">
      <w:start w:val="1"/>
      <w:numFmt w:val="bullet"/>
      <w:lvlText w:val="o"/>
      <w:lvlJc w:val="left"/>
      <w:pPr>
        <w:tabs>
          <w:tab w:val="num" w:pos="4658"/>
        </w:tabs>
        <w:ind w:left="394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106CCE">
      <w:start w:val="1"/>
      <w:numFmt w:val="bullet"/>
      <w:lvlText w:val="▪"/>
      <w:lvlJc w:val="left"/>
      <w:pPr>
        <w:tabs>
          <w:tab w:val="num" w:pos="5378"/>
        </w:tabs>
        <w:ind w:left="46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E00A46">
      <w:start w:val="1"/>
      <w:numFmt w:val="bullet"/>
      <w:lvlText w:val="•"/>
      <w:lvlJc w:val="left"/>
      <w:pPr>
        <w:tabs>
          <w:tab w:val="num" w:pos="6098"/>
        </w:tabs>
        <w:ind w:left="53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4A8152">
      <w:start w:val="1"/>
      <w:numFmt w:val="bullet"/>
      <w:lvlText w:val="o"/>
      <w:lvlJc w:val="left"/>
      <w:pPr>
        <w:tabs>
          <w:tab w:val="num" w:pos="6818"/>
        </w:tabs>
        <w:ind w:left="61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4B7DE">
      <w:start w:val="1"/>
      <w:numFmt w:val="bullet"/>
      <w:lvlText w:val="▪"/>
      <w:lvlJc w:val="left"/>
      <w:pPr>
        <w:tabs>
          <w:tab w:val="num" w:pos="7538"/>
        </w:tabs>
        <w:ind w:left="68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0206FEA"/>
    <w:multiLevelType w:val="hybridMultilevel"/>
    <w:tmpl w:val="67C4499A"/>
    <w:lvl w:ilvl="0" w:tplc="45E6E374">
      <w:start w:val="1"/>
      <w:numFmt w:val="bullet"/>
      <w:lvlText w:val=""/>
      <w:lvlJc w:val="left"/>
      <w:pPr>
        <w:ind w:left="1931" w:hanging="360"/>
      </w:pPr>
      <w:rPr>
        <w:rFonts w:ascii="Symbol" w:hAnsi="Symbol" w:hint="default"/>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9">
    <w:nsid w:val="30903B23"/>
    <w:multiLevelType w:val="hybridMultilevel"/>
    <w:tmpl w:val="06346F34"/>
    <w:lvl w:ilvl="0" w:tplc="0C160238">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0">
    <w:nsid w:val="3C8E5A12"/>
    <w:multiLevelType w:val="hybridMultilevel"/>
    <w:tmpl w:val="D88AE964"/>
    <w:lvl w:ilvl="0" w:tplc="C9DA2946">
      <w:start w:val="16"/>
      <w:numFmt w:val="bullet"/>
      <w:lvlText w:val="-"/>
      <w:lvlJc w:val="left"/>
      <w:pPr>
        <w:ind w:left="501" w:hanging="360"/>
      </w:pPr>
      <w:rPr>
        <w:rFonts w:ascii="Times New Roman" w:eastAsia="Times New Roman" w:hAnsi="Times New Roman" w:cs="Times New Roman"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1">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2">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3">
    <w:nsid w:val="4297520E"/>
    <w:multiLevelType w:val="hybridMultilevel"/>
    <w:tmpl w:val="2B5A794C"/>
    <w:lvl w:ilvl="0" w:tplc="DE52A3B0">
      <w:numFmt w:val="bullet"/>
      <w:lvlText w:val="-"/>
      <w:lvlJc w:val="left"/>
      <w:pPr>
        <w:ind w:left="1211"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4A666337"/>
    <w:multiLevelType w:val="hybridMultilevel"/>
    <w:tmpl w:val="CB447612"/>
    <w:lvl w:ilvl="0" w:tplc="15DCE854">
      <w:start w:val="1"/>
      <w:numFmt w:val="none"/>
      <w:pStyle w:val="-LettreAffairesuivieGEDA"/>
      <w:lvlText w:val="%1Affaire suivie par :"/>
      <w:lvlJc w:val="left"/>
      <w:pPr>
        <w:tabs>
          <w:tab w:val="num" w:pos="2880"/>
        </w:tabs>
        <w:ind w:left="1080" w:hanging="360"/>
      </w:pPr>
      <w:rPr>
        <w:rFonts w:hint="default"/>
        <w:b w:val="0"/>
        <w:i/>
        <w:sz w:val="18"/>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5FD10FCF"/>
    <w:multiLevelType w:val="hybridMultilevel"/>
    <w:tmpl w:val="2FA4FBFC"/>
    <w:lvl w:ilvl="0" w:tplc="040C0001">
      <w:start w:val="1"/>
      <w:numFmt w:val="bullet"/>
      <w:lvlText w:val=""/>
      <w:lvlJc w:val="left"/>
      <w:pPr>
        <w:ind w:left="720" w:hanging="360"/>
      </w:pPr>
      <w:rPr>
        <w:rFonts w:ascii="Symbol" w:hAnsi="Symbol" w:hint="default"/>
      </w:rPr>
    </w:lvl>
    <w:lvl w:ilvl="1" w:tplc="8BA244AC">
      <w:numFmt w:val="bullet"/>
      <w:lvlText w:val="•"/>
      <w:lvlJc w:val="left"/>
      <w:pPr>
        <w:ind w:left="1785" w:hanging="705"/>
      </w:pPr>
      <w:rPr>
        <w:rFonts w:ascii="Calibri" w:eastAsia="Calibri"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39B091D"/>
    <w:multiLevelType w:val="hybridMultilevel"/>
    <w:tmpl w:val="95542800"/>
    <w:lvl w:ilvl="0" w:tplc="46325808">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7">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18">
    <w:nsid w:val="6BFD29D4"/>
    <w:multiLevelType w:val="hybridMultilevel"/>
    <w:tmpl w:val="C4604C72"/>
    <w:lvl w:ilvl="0" w:tplc="080C1598">
      <w:start w:val="16"/>
      <w:numFmt w:val="bullet"/>
      <w:lvlText w:val="-"/>
      <w:lvlJc w:val="left"/>
      <w:pPr>
        <w:ind w:left="1211" w:hanging="360"/>
      </w:pPr>
      <w:rPr>
        <w:rFonts w:ascii="Times New Roman" w:eastAsia="Calibri" w:hAnsi="Times New Roman" w:cs="Times New Roman" w:hint="default"/>
        <w:sz w:val="24"/>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9">
    <w:nsid w:val="720E636C"/>
    <w:multiLevelType w:val="hybridMultilevel"/>
    <w:tmpl w:val="B39025FC"/>
    <w:lvl w:ilvl="0" w:tplc="14A8DC2A">
      <w:numFmt w:val="bullet"/>
      <w:lvlText w:val="-"/>
      <w:lvlJc w:val="left"/>
      <w:pPr>
        <w:ind w:left="720" w:hanging="360"/>
      </w:pPr>
      <w:rPr>
        <w:rFonts w:ascii="Calibri" w:eastAsia="Calibri" w:hAnsi="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nsid w:val="73205825"/>
    <w:multiLevelType w:val="singleLevel"/>
    <w:tmpl w:val="C20E3398"/>
    <w:lvl w:ilvl="0">
      <w:start w:val="1"/>
      <w:numFmt w:val="none"/>
      <w:pStyle w:val="-ActeAttenduConsidrantGEDA"/>
      <w:lvlText w:val="Considérant"/>
      <w:lvlJc w:val="left"/>
      <w:pPr>
        <w:tabs>
          <w:tab w:val="num" w:pos="1080"/>
        </w:tabs>
        <w:ind w:left="340" w:hanging="340"/>
      </w:pPr>
      <w:rPr>
        <w:rFonts w:hint="default"/>
        <w:sz w:val="20"/>
      </w:rPr>
    </w:lvl>
  </w:abstractNum>
  <w:abstractNum w:abstractNumId="21">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11"/>
  </w:num>
  <w:num w:numId="2">
    <w:abstractNumId w:val="12"/>
  </w:num>
  <w:num w:numId="3">
    <w:abstractNumId w:val="21"/>
  </w:num>
  <w:num w:numId="4">
    <w:abstractNumId w:val="17"/>
  </w:num>
  <w:num w:numId="5">
    <w:abstractNumId w:val="20"/>
  </w:num>
  <w:num w:numId="6">
    <w:abstractNumId w:val="2"/>
  </w:num>
  <w:num w:numId="7">
    <w:abstractNumId w:val="7"/>
  </w:num>
  <w:num w:numId="8">
    <w:abstractNumId w:val="14"/>
  </w:num>
  <w:num w:numId="9">
    <w:abstractNumId w:val="6"/>
  </w:num>
  <w:num w:numId="10">
    <w:abstractNumId w:val="4"/>
  </w:num>
  <w:num w:numId="11">
    <w:abstractNumId w:val="10"/>
  </w:num>
  <w:num w:numId="12">
    <w:abstractNumId w:val="1"/>
  </w:num>
  <w:num w:numId="13">
    <w:abstractNumId w:val="9"/>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
  </w:num>
  <w:num w:numId="18">
    <w:abstractNumId w:val="5"/>
  </w:num>
  <w:num w:numId="19">
    <w:abstractNumId w:val="18"/>
  </w:num>
  <w:num w:numId="20">
    <w:abstractNumId w:val="8"/>
  </w:num>
  <w:num w:numId="21">
    <w:abstractNumId w:val="0"/>
  </w:num>
  <w:num w:numId="2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1FE8"/>
    <w:rsid w:val="00002B31"/>
    <w:rsid w:val="00011CE8"/>
    <w:rsid w:val="00015FF2"/>
    <w:rsid w:val="00021602"/>
    <w:rsid w:val="000224F9"/>
    <w:rsid w:val="00027CD3"/>
    <w:rsid w:val="0003093E"/>
    <w:rsid w:val="00033658"/>
    <w:rsid w:val="00040642"/>
    <w:rsid w:val="000442CB"/>
    <w:rsid w:val="000448E5"/>
    <w:rsid w:val="0004526C"/>
    <w:rsid w:val="00045E81"/>
    <w:rsid w:val="00047992"/>
    <w:rsid w:val="000508C8"/>
    <w:rsid w:val="000561CA"/>
    <w:rsid w:val="00063EA4"/>
    <w:rsid w:val="00064A61"/>
    <w:rsid w:val="00066013"/>
    <w:rsid w:val="000678D5"/>
    <w:rsid w:val="000728E0"/>
    <w:rsid w:val="0007390E"/>
    <w:rsid w:val="0008409F"/>
    <w:rsid w:val="00086538"/>
    <w:rsid w:val="0008783B"/>
    <w:rsid w:val="00087CFE"/>
    <w:rsid w:val="0009440F"/>
    <w:rsid w:val="00094FC4"/>
    <w:rsid w:val="000A0CBC"/>
    <w:rsid w:val="000A7995"/>
    <w:rsid w:val="000B0B49"/>
    <w:rsid w:val="000B150B"/>
    <w:rsid w:val="000B4563"/>
    <w:rsid w:val="000B77CD"/>
    <w:rsid w:val="000C0F06"/>
    <w:rsid w:val="000C103D"/>
    <w:rsid w:val="000C3FED"/>
    <w:rsid w:val="000C44EB"/>
    <w:rsid w:val="000C55DA"/>
    <w:rsid w:val="000C5D90"/>
    <w:rsid w:val="000D41CD"/>
    <w:rsid w:val="000D5AC8"/>
    <w:rsid w:val="000D5C6D"/>
    <w:rsid w:val="000D5EAC"/>
    <w:rsid w:val="000D60AF"/>
    <w:rsid w:val="000E790C"/>
    <w:rsid w:val="000F1E19"/>
    <w:rsid w:val="000F7373"/>
    <w:rsid w:val="001053EF"/>
    <w:rsid w:val="00112BB8"/>
    <w:rsid w:val="00114615"/>
    <w:rsid w:val="00121991"/>
    <w:rsid w:val="00121B8F"/>
    <w:rsid w:val="0012265F"/>
    <w:rsid w:val="00124A38"/>
    <w:rsid w:val="001260E1"/>
    <w:rsid w:val="001308E2"/>
    <w:rsid w:val="00131CED"/>
    <w:rsid w:val="00131F0F"/>
    <w:rsid w:val="00132659"/>
    <w:rsid w:val="00141919"/>
    <w:rsid w:val="001510DE"/>
    <w:rsid w:val="00164559"/>
    <w:rsid w:val="0016503A"/>
    <w:rsid w:val="00165D74"/>
    <w:rsid w:val="001702D3"/>
    <w:rsid w:val="00172F9E"/>
    <w:rsid w:val="001775EE"/>
    <w:rsid w:val="0018145E"/>
    <w:rsid w:val="001832E3"/>
    <w:rsid w:val="00186F29"/>
    <w:rsid w:val="0019566B"/>
    <w:rsid w:val="00196AAB"/>
    <w:rsid w:val="001A2D2F"/>
    <w:rsid w:val="001A2EBB"/>
    <w:rsid w:val="001A5551"/>
    <w:rsid w:val="001A5B63"/>
    <w:rsid w:val="001A731D"/>
    <w:rsid w:val="001B1A33"/>
    <w:rsid w:val="001B28FD"/>
    <w:rsid w:val="001C2250"/>
    <w:rsid w:val="001C36AB"/>
    <w:rsid w:val="001C4DE4"/>
    <w:rsid w:val="001C5819"/>
    <w:rsid w:val="001C6401"/>
    <w:rsid w:val="001C6C5E"/>
    <w:rsid w:val="001C6CF3"/>
    <w:rsid w:val="001C74FC"/>
    <w:rsid w:val="001D25B7"/>
    <w:rsid w:val="001D6BE1"/>
    <w:rsid w:val="001E0F84"/>
    <w:rsid w:val="001E128A"/>
    <w:rsid w:val="001E15A7"/>
    <w:rsid w:val="001E20C7"/>
    <w:rsid w:val="001E2C77"/>
    <w:rsid w:val="001E3419"/>
    <w:rsid w:val="001E3E58"/>
    <w:rsid w:val="001E4B80"/>
    <w:rsid w:val="001E547E"/>
    <w:rsid w:val="001E5D1D"/>
    <w:rsid w:val="001E5D7F"/>
    <w:rsid w:val="001E69FF"/>
    <w:rsid w:val="001F02DD"/>
    <w:rsid w:val="001F2760"/>
    <w:rsid w:val="001F6D55"/>
    <w:rsid w:val="0020266C"/>
    <w:rsid w:val="002045B4"/>
    <w:rsid w:val="00216AFA"/>
    <w:rsid w:val="002206D4"/>
    <w:rsid w:val="0022221E"/>
    <w:rsid w:val="00227DAE"/>
    <w:rsid w:val="002345BD"/>
    <w:rsid w:val="00235683"/>
    <w:rsid w:val="002359E5"/>
    <w:rsid w:val="00243141"/>
    <w:rsid w:val="00247536"/>
    <w:rsid w:val="002512C5"/>
    <w:rsid w:val="00261E72"/>
    <w:rsid w:val="0026346A"/>
    <w:rsid w:val="002648E4"/>
    <w:rsid w:val="00264EF2"/>
    <w:rsid w:val="002678FB"/>
    <w:rsid w:val="00270AE2"/>
    <w:rsid w:val="00276B3E"/>
    <w:rsid w:val="00277481"/>
    <w:rsid w:val="00285425"/>
    <w:rsid w:val="00286EAD"/>
    <w:rsid w:val="00286FFA"/>
    <w:rsid w:val="002904DD"/>
    <w:rsid w:val="00292FC0"/>
    <w:rsid w:val="00297A93"/>
    <w:rsid w:val="002A1123"/>
    <w:rsid w:val="002A79DA"/>
    <w:rsid w:val="002B1B00"/>
    <w:rsid w:val="002B5364"/>
    <w:rsid w:val="002B5710"/>
    <w:rsid w:val="002B5B92"/>
    <w:rsid w:val="002C05FC"/>
    <w:rsid w:val="002C134A"/>
    <w:rsid w:val="002C3C82"/>
    <w:rsid w:val="002C5958"/>
    <w:rsid w:val="002D0563"/>
    <w:rsid w:val="002D0A26"/>
    <w:rsid w:val="002D5E49"/>
    <w:rsid w:val="002D6359"/>
    <w:rsid w:val="002E1D40"/>
    <w:rsid w:val="002E42D2"/>
    <w:rsid w:val="002F1933"/>
    <w:rsid w:val="002F1E93"/>
    <w:rsid w:val="002F733A"/>
    <w:rsid w:val="00303FF2"/>
    <w:rsid w:val="00306799"/>
    <w:rsid w:val="003107CB"/>
    <w:rsid w:val="003116D5"/>
    <w:rsid w:val="0031428F"/>
    <w:rsid w:val="00314D05"/>
    <w:rsid w:val="003175DF"/>
    <w:rsid w:val="0032141A"/>
    <w:rsid w:val="00331349"/>
    <w:rsid w:val="00335461"/>
    <w:rsid w:val="0033691B"/>
    <w:rsid w:val="00342B70"/>
    <w:rsid w:val="003444A6"/>
    <w:rsid w:val="00347372"/>
    <w:rsid w:val="0035386E"/>
    <w:rsid w:val="00357DC7"/>
    <w:rsid w:val="003625D8"/>
    <w:rsid w:val="00366694"/>
    <w:rsid w:val="00374615"/>
    <w:rsid w:val="0037539F"/>
    <w:rsid w:val="00375466"/>
    <w:rsid w:val="0037614E"/>
    <w:rsid w:val="00376D41"/>
    <w:rsid w:val="00393D5F"/>
    <w:rsid w:val="00395780"/>
    <w:rsid w:val="00395BE4"/>
    <w:rsid w:val="00396E20"/>
    <w:rsid w:val="003A1378"/>
    <w:rsid w:val="003A3094"/>
    <w:rsid w:val="003A6507"/>
    <w:rsid w:val="003B06C4"/>
    <w:rsid w:val="003B14D7"/>
    <w:rsid w:val="003B57C8"/>
    <w:rsid w:val="003B5A14"/>
    <w:rsid w:val="003B6B55"/>
    <w:rsid w:val="003C3872"/>
    <w:rsid w:val="003C5469"/>
    <w:rsid w:val="003C5FFF"/>
    <w:rsid w:val="003D2A49"/>
    <w:rsid w:val="003D37E1"/>
    <w:rsid w:val="003D55CF"/>
    <w:rsid w:val="003D62F0"/>
    <w:rsid w:val="003E3D40"/>
    <w:rsid w:val="003E44BD"/>
    <w:rsid w:val="003E55EF"/>
    <w:rsid w:val="003E59BB"/>
    <w:rsid w:val="003F0DC9"/>
    <w:rsid w:val="003F3E11"/>
    <w:rsid w:val="003F7F57"/>
    <w:rsid w:val="00403CBD"/>
    <w:rsid w:val="004045BC"/>
    <w:rsid w:val="004064CE"/>
    <w:rsid w:val="00407286"/>
    <w:rsid w:val="00407DBC"/>
    <w:rsid w:val="004119C3"/>
    <w:rsid w:val="00412883"/>
    <w:rsid w:val="004138E7"/>
    <w:rsid w:val="00414234"/>
    <w:rsid w:val="00415AE9"/>
    <w:rsid w:val="00415B15"/>
    <w:rsid w:val="00416ABB"/>
    <w:rsid w:val="00416B42"/>
    <w:rsid w:val="0042162D"/>
    <w:rsid w:val="0042227C"/>
    <w:rsid w:val="00424B02"/>
    <w:rsid w:val="00432970"/>
    <w:rsid w:val="00436764"/>
    <w:rsid w:val="004419CA"/>
    <w:rsid w:val="004443F9"/>
    <w:rsid w:val="0044573A"/>
    <w:rsid w:val="00447307"/>
    <w:rsid w:val="004504FA"/>
    <w:rsid w:val="00454BA7"/>
    <w:rsid w:val="00456F05"/>
    <w:rsid w:val="004636DD"/>
    <w:rsid w:val="00464DBA"/>
    <w:rsid w:val="00466539"/>
    <w:rsid w:val="00467EC1"/>
    <w:rsid w:val="00471C2A"/>
    <w:rsid w:val="00477702"/>
    <w:rsid w:val="004815E2"/>
    <w:rsid w:val="004824BE"/>
    <w:rsid w:val="00482E36"/>
    <w:rsid w:val="004859C9"/>
    <w:rsid w:val="004901D8"/>
    <w:rsid w:val="004945F1"/>
    <w:rsid w:val="004A0C8B"/>
    <w:rsid w:val="004B281C"/>
    <w:rsid w:val="004B389F"/>
    <w:rsid w:val="004B6C76"/>
    <w:rsid w:val="004C04C6"/>
    <w:rsid w:val="004C0B54"/>
    <w:rsid w:val="004D2C02"/>
    <w:rsid w:val="004D4B76"/>
    <w:rsid w:val="004D78E7"/>
    <w:rsid w:val="004E1879"/>
    <w:rsid w:val="004E35E1"/>
    <w:rsid w:val="004E59E4"/>
    <w:rsid w:val="004F1581"/>
    <w:rsid w:val="004F1C5F"/>
    <w:rsid w:val="004F2666"/>
    <w:rsid w:val="004F594B"/>
    <w:rsid w:val="004F6811"/>
    <w:rsid w:val="004F6AB0"/>
    <w:rsid w:val="004F7167"/>
    <w:rsid w:val="00500045"/>
    <w:rsid w:val="005019FE"/>
    <w:rsid w:val="00502252"/>
    <w:rsid w:val="005071D6"/>
    <w:rsid w:val="005104B4"/>
    <w:rsid w:val="00511481"/>
    <w:rsid w:val="005115BC"/>
    <w:rsid w:val="005117FB"/>
    <w:rsid w:val="00514734"/>
    <w:rsid w:val="00520306"/>
    <w:rsid w:val="00526FDB"/>
    <w:rsid w:val="0053719D"/>
    <w:rsid w:val="00537381"/>
    <w:rsid w:val="005419C1"/>
    <w:rsid w:val="0054277A"/>
    <w:rsid w:val="00546CAE"/>
    <w:rsid w:val="00551CEE"/>
    <w:rsid w:val="00554294"/>
    <w:rsid w:val="00555562"/>
    <w:rsid w:val="00557CBF"/>
    <w:rsid w:val="005611E3"/>
    <w:rsid w:val="0057103B"/>
    <w:rsid w:val="00572539"/>
    <w:rsid w:val="0057273D"/>
    <w:rsid w:val="00575E77"/>
    <w:rsid w:val="00580ED3"/>
    <w:rsid w:val="00581CCF"/>
    <w:rsid w:val="00582CD8"/>
    <w:rsid w:val="00582D1E"/>
    <w:rsid w:val="005942B2"/>
    <w:rsid w:val="0059665C"/>
    <w:rsid w:val="005968D2"/>
    <w:rsid w:val="00597666"/>
    <w:rsid w:val="005A1430"/>
    <w:rsid w:val="005A2DD5"/>
    <w:rsid w:val="005B25CA"/>
    <w:rsid w:val="005B7E08"/>
    <w:rsid w:val="005C0F65"/>
    <w:rsid w:val="005C23D4"/>
    <w:rsid w:val="005C3A17"/>
    <w:rsid w:val="005C542C"/>
    <w:rsid w:val="005C64E3"/>
    <w:rsid w:val="005D0C9C"/>
    <w:rsid w:val="005D1E56"/>
    <w:rsid w:val="005D300C"/>
    <w:rsid w:val="005D3628"/>
    <w:rsid w:val="005E110E"/>
    <w:rsid w:val="005E1F37"/>
    <w:rsid w:val="005E233B"/>
    <w:rsid w:val="005E3D2E"/>
    <w:rsid w:val="005F11F1"/>
    <w:rsid w:val="005F1FF3"/>
    <w:rsid w:val="005F3A86"/>
    <w:rsid w:val="005F5786"/>
    <w:rsid w:val="005F67A7"/>
    <w:rsid w:val="006065EA"/>
    <w:rsid w:val="006073B5"/>
    <w:rsid w:val="00610132"/>
    <w:rsid w:val="00620349"/>
    <w:rsid w:val="006220B2"/>
    <w:rsid w:val="00625CF0"/>
    <w:rsid w:val="00633CEC"/>
    <w:rsid w:val="006351F3"/>
    <w:rsid w:val="00636B0B"/>
    <w:rsid w:val="00637337"/>
    <w:rsid w:val="00637F5B"/>
    <w:rsid w:val="006404E4"/>
    <w:rsid w:val="00642DA2"/>
    <w:rsid w:val="00643DB5"/>
    <w:rsid w:val="00643F5E"/>
    <w:rsid w:val="0064491E"/>
    <w:rsid w:val="006453D4"/>
    <w:rsid w:val="00646D25"/>
    <w:rsid w:val="006531C2"/>
    <w:rsid w:val="006545ED"/>
    <w:rsid w:val="00654764"/>
    <w:rsid w:val="00655FF1"/>
    <w:rsid w:val="0066052A"/>
    <w:rsid w:val="006619B5"/>
    <w:rsid w:val="006701A9"/>
    <w:rsid w:val="00672ED4"/>
    <w:rsid w:val="00676F7E"/>
    <w:rsid w:val="00683D1F"/>
    <w:rsid w:val="006855B9"/>
    <w:rsid w:val="006867CF"/>
    <w:rsid w:val="00690C84"/>
    <w:rsid w:val="00691CAE"/>
    <w:rsid w:val="00691F42"/>
    <w:rsid w:val="0069242B"/>
    <w:rsid w:val="00693771"/>
    <w:rsid w:val="00693A0D"/>
    <w:rsid w:val="00693C91"/>
    <w:rsid w:val="00693F08"/>
    <w:rsid w:val="00697133"/>
    <w:rsid w:val="006A3579"/>
    <w:rsid w:val="006A6904"/>
    <w:rsid w:val="006B3196"/>
    <w:rsid w:val="006B3785"/>
    <w:rsid w:val="006B3B14"/>
    <w:rsid w:val="006B623F"/>
    <w:rsid w:val="006C3B44"/>
    <w:rsid w:val="006C7CA5"/>
    <w:rsid w:val="006D3AAC"/>
    <w:rsid w:val="006E411F"/>
    <w:rsid w:val="006E478C"/>
    <w:rsid w:val="006E7470"/>
    <w:rsid w:val="006E76C6"/>
    <w:rsid w:val="006F0A62"/>
    <w:rsid w:val="006F13F3"/>
    <w:rsid w:val="006F217C"/>
    <w:rsid w:val="006F2E69"/>
    <w:rsid w:val="006F3B1B"/>
    <w:rsid w:val="006F7090"/>
    <w:rsid w:val="00703592"/>
    <w:rsid w:val="007052A3"/>
    <w:rsid w:val="00706485"/>
    <w:rsid w:val="00706A5D"/>
    <w:rsid w:val="00711F71"/>
    <w:rsid w:val="007126F8"/>
    <w:rsid w:val="00714936"/>
    <w:rsid w:val="00716A05"/>
    <w:rsid w:val="00724158"/>
    <w:rsid w:val="007301C6"/>
    <w:rsid w:val="0073038C"/>
    <w:rsid w:val="0073277F"/>
    <w:rsid w:val="00733923"/>
    <w:rsid w:val="00733EE6"/>
    <w:rsid w:val="00734600"/>
    <w:rsid w:val="00736200"/>
    <w:rsid w:val="00744311"/>
    <w:rsid w:val="00744E22"/>
    <w:rsid w:val="00745751"/>
    <w:rsid w:val="007466DF"/>
    <w:rsid w:val="00747E8F"/>
    <w:rsid w:val="007503DC"/>
    <w:rsid w:val="00753BF6"/>
    <w:rsid w:val="00754A99"/>
    <w:rsid w:val="0075769B"/>
    <w:rsid w:val="00762278"/>
    <w:rsid w:val="00762E29"/>
    <w:rsid w:val="00764607"/>
    <w:rsid w:val="0076469B"/>
    <w:rsid w:val="00764CDD"/>
    <w:rsid w:val="00767E72"/>
    <w:rsid w:val="00770EDA"/>
    <w:rsid w:val="0077109E"/>
    <w:rsid w:val="0077577E"/>
    <w:rsid w:val="007768E0"/>
    <w:rsid w:val="00781048"/>
    <w:rsid w:val="00781933"/>
    <w:rsid w:val="007917AC"/>
    <w:rsid w:val="007969D9"/>
    <w:rsid w:val="00796D0D"/>
    <w:rsid w:val="007A103C"/>
    <w:rsid w:val="007A6288"/>
    <w:rsid w:val="007A6645"/>
    <w:rsid w:val="007A699A"/>
    <w:rsid w:val="007A6D8A"/>
    <w:rsid w:val="007A7556"/>
    <w:rsid w:val="007B2644"/>
    <w:rsid w:val="007B3B1E"/>
    <w:rsid w:val="007B3FE4"/>
    <w:rsid w:val="007B453D"/>
    <w:rsid w:val="007B5747"/>
    <w:rsid w:val="007B7965"/>
    <w:rsid w:val="007C215C"/>
    <w:rsid w:val="007C4CCE"/>
    <w:rsid w:val="007C61B0"/>
    <w:rsid w:val="007D2885"/>
    <w:rsid w:val="007D57D7"/>
    <w:rsid w:val="007D7D62"/>
    <w:rsid w:val="007E0471"/>
    <w:rsid w:val="007E4745"/>
    <w:rsid w:val="007E5AD4"/>
    <w:rsid w:val="007E5D80"/>
    <w:rsid w:val="007E6573"/>
    <w:rsid w:val="007F18B2"/>
    <w:rsid w:val="007F5664"/>
    <w:rsid w:val="007F71F9"/>
    <w:rsid w:val="00800575"/>
    <w:rsid w:val="00802907"/>
    <w:rsid w:val="008059E4"/>
    <w:rsid w:val="008142E4"/>
    <w:rsid w:val="00815E32"/>
    <w:rsid w:val="0081648B"/>
    <w:rsid w:val="00816AD6"/>
    <w:rsid w:val="00822799"/>
    <w:rsid w:val="00822FDE"/>
    <w:rsid w:val="00824E7D"/>
    <w:rsid w:val="00825657"/>
    <w:rsid w:val="008261E3"/>
    <w:rsid w:val="0082621E"/>
    <w:rsid w:val="008276FE"/>
    <w:rsid w:val="00827B40"/>
    <w:rsid w:val="0083120F"/>
    <w:rsid w:val="008336DF"/>
    <w:rsid w:val="00842EDD"/>
    <w:rsid w:val="00852F12"/>
    <w:rsid w:val="008537CB"/>
    <w:rsid w:val="00856EBE"/>
    <w:rsid w:val="008621A3"/>
    <w:rsid w:val="00863C9B"/>
    <w:rsid w:val="00864279"/>
    <w:rsid w:val="0086475C"/>
    <w:rsid w:val="00866990"/>
    <w:rsid w:val="00871A3F"/>
    <w:rsid w:val="008720B3"/>
    <w:rsid w:val="008848AD"/>
    <w:rsid w:val="008856F9"/>
    <w:rsid w:val="008859A0"/>
    <w:rsid w:val="00886F51"/>
    <w:rsid w:val="00887D74"/>
    <w:rsid w:val="00891EDE"/>
    <w:rsid w:val="00892735"/>
    <w:rsid w:val="00893B1C"/>
    <w:rsid w:val="00894690"/>
    <w:rsid w:val="00895FDC"/>
    <w:rsid w:val="008A241A"/>
    <w:rsid w:val="008A56B9"/>
    <w:rsid w:val="008B080B"/>
    <w:rsid w:val="008B21C4"/>
    <w:rsid w:val="008C219B"/>
    <w:rsid w:val="008C255E"/>
    <w:rsid w:val="008C4B24"/>
    <w:rsid w:val="008C7BA4"/>
    <w:rsid w:val="008D02F0"/>
    <w:rsid w:val="008D409F"/>
    <w:rsid w:val="008D6C23"/>
    <w:rsid w:val="008E053C"/>
    <w:rsid w:val="008E1AB5"/>
    <w:rsid w:val="008E4691"/>
    <w:rsid w:val="008F245A"/>
    <w:rsid w:val="008F5626"/>
    <w:rsid w:val="00902FF5"/>
    <w:rsid w:val="00906A19"/>
    <w:rsid w:val="00906D50"/>
    <w:rsid w:val="00910FD4"/>
    <w:rsid w:val="009142E5"/>
    <w:rsid w:val="009179FF"/>
    <w:rsid w:val="00917D79"/>
    <w:rsid w:val="0092093D"/>
    <w:rsid w:val="00922ABB"/>
    <w:rsid w:val="0093137C"/>
    <w:rsid w:val="0093313C"/>
    <w:rsid w:val="009401EA"/>
    <w:rsid w:val="0094463C"/>
    <w:rsid w:val="00946318"/>
    <w:rsid w:val="00950864"/>
    <w:rsid w:val="00950F40"/>
    <w:rsid w:val="009516A6"/>
    <w:rsid w:val="00952102"/>
    <w:rsid w:val="00954182"/>
    <w:rsid w:val="00960A98"/>
    <w:rsid w:val="00961FA8"/>
    <w:rsid w:val="00967DD6"/>
    <w:rsid w:val="0097077C"/>
    <w:rsid w:val="00970D2F"/>
    <w:rsid w:val="009740B4"/>
    <w:rsid w:val="00974CB1"/>
    <w:rsid w:val="0097618E"/>
    <w:rsid w:val="00976B85"/>
    <w:rsid w:val="00982775"/>
    <w:rsid w:val="00985303"/>
    <w:rsid w:val="00986537"/>
    <w:rsid w:val="00990AE0"/>
    <w:rsid w:val="0099197F"/>
    <w:rsid w:val="00994824"/>
    <w:rsid w:val="00994A64"/>
    <w:rsid w:val="009A0987"/>
    <w:rsid w:val="009A1A25"/>
    <w:rsid w:val="009A2109"/>
    <w:rsid w:val="009A2709"/>
    <w:rsid w:val="009A3BA0"/>
    <w:rsid w:val="009B11A7"/>
    <w:rsid w:val="009B5FE5"/>
    <w:rsid w:val="009B73C8"/>
    <w:rsid w:val="009B778E"/>
    <w:rsid w:val="009C0DEF"/>
    <w:rsid w:val="009C2F64"/>
    <w:rsid w:val="009D1DF3"/>
    <w:rsid w:val="009E14D0"/>
    <w:rsid w:val="009E3228"/>
    <w:rsid w:val="009E3801"/>
    <w:rsid w:val="009E43D5"/>
    <w:rsid w:val="009F27E2"/>
    <w:rsid w:val="009F48D8"/>
    <w:rsid w:val="00A01888"/>
    <w:rsid w:val="00A126D4"/>
    <w:rsid w:val="00A17AA2"/>
    <w:rsid w:val="00A2140B"/>
    <w:rsid w:val="00A21E46"/>
    <w:rsid w:val="00A24863"/>
    <w:rsid w:val="00A251E2"/>
    <w:rsid w:val="00A31033"/>
    <w:rsid w:val="00A31AE6"/>
    <w:rsid w:val="00A40622"/>
    <w:rsid w:val="00A41FD7"/>
    <w:rsid w:val="00A442F1"/>
    <w:rsid w:val="00A44770"/>
    <w:rsid w:val="00A45B8E"/>
    <w:rsid w:val="00A46498"/>
    <w:rsid w:val="00A46AF8"/>
    <w:rsid w:val="00A46EA3"/>
    <w:rsid w:val="00A5545D"/>
    <w:rsid w:val="00A565B7"/>
    <w:rsid w:val="00A62A77"/>
    <w:rsid w:val="00A73389"/>
    <w:rsid w:val="00A73AC6"/>
    <w:rsid w:val="00A80857"/>
    <w:rsid w:val="00A87746"/>
    <w:rsid w:val="00A9007E"/>
    <w:rsid w:val="00A93D19"/>
    <w:rsid w:val="00AA06CE"/>
    <w:rsid w:val="00AA198C"/>
    <w:rsid w:val="00AA5DB0"/>
    <w:rsid w:val="00AB1414"/>
    <w:rsid w:val="00AB168C"/>
    <w:rsid w:val="00AB5E4B"/>
    <w:rsid w:val="00AB7D79"/>
    <w:rsid w:val="00AC1952"/>
    <w:rsid w:val="00AC42CB"/>
    <w:rsid w:val="00AC52AE"/>
    <w:rsid w:val="00AC57FB"/>
    <w:rsid w:val="00AC6946"/>
    <w:rsid w:val="00AD3266"/>
    <w:rsid w:val="00AD5069"/>
    <w:rsid w:val="00AD5D6D"/>
    <w:rsid w:val="00AD5EDD"/>
    <w:rsid w:val="00AD5EE0"/>
    <w:rsid w:val="00AD6E64"/>
    <w:rsid w:val="00AE3010"/>
    <w:rsid w:val="00AE3F88"/>
    <w:rsid w:val="00AE4FD0"/>
    <w:rsid w:val="00AF07FB"/>
    <w:rsid w:val="00AF2B57"/>
    <w:rsid w:val="00AF4C0B"/>
    <w:rsid w:val="00B123F5"/>
    <w:rsid w:val="00B140D4"/>
    <w:rsid w:val="00B1494D"/>
    <w:rsid w:val="00B14FEF"/>
    <w:rsid w:val="00B15DF0"/>
    <w:rsid w:val="00B21CAB"/>
    <w:rsid w:val="00B21E1D"/>
    <w:rsid w:val="00B226E7"/>
    <w:rsid w:val="00B312EF"/>
    <w:rsid w:val="00B31AD4"/>
    <w:rsid w:val="00B332D7"/>
    <w:rsid w:val="00B35597"/>
    <w:rsid w:val="00B447A7"/>
    <w:rsid w:val="00B45D18"/>
    <w:rsid w:val="00B50C6F"/>
    <w:rsid w:val="00B51388"/>
    <w:rsid w:val="00B52542"/>
    <w:rsid w:val="00B54749"/>
    <w:rsid w:val="00B64483"/>
    <w:rsid w:val="00B6565D"/>
    <w:rsid w:val="00B709A4"/>
    <w:rsid w:val="00B74014"/>
    <w:rsid w:val="00B74B8A"/>
    <w:rsid w:val="00B76EC6"/>
    <w:rsid w:val="00B802BB"/>
    <w:rsid w:val="00B82454"/>
    <w:rsid w:val="00B83D50"/>
    <w:rsid w:val="00B95C0A"/>
    <w:rsid w:val="00B9752A"/>
    <w:rsid w:val="00BA1EBE"/>
    <w:rsid w:val="00BA3B8B"/>
    <w:rsid w:val="00BA7440"/>
    <w:rsid w:val="00BA76E3"/>
    <w:rsid w:val="00BB1024"/>
    <w:rsid w:val="00BB15C2"/>
    <w:rsid w:val="00BB66F6"/>
    <w:rsid w:val="00BC1461"/>
    <w:rsid w:val="00BC5AC8"/>
    <w:rsid w:val="00BC620E"/>
    <w:rsid w:val="00BC75D2"/>
    <w:rsid w:val="00BD7B99"/>
    <w:rsid w:val="00BD7FCE"/>
    <w:rsid w:val="00BE524D"/>
    <w:rsid w:val="00BF02E7"/>
    <w:rsid w:val="00BF6DB2"/>
    <w:rsid w:val="00BF6F91"/>
    <w:rsid w:val="00BF7572"/>
    <w:rsid w:val="00BF7937"/>
    <w:rsid w:val="00C04626"/>
    <w:rsid w:val="00C109C3"/>
    <w:rsid w:val="00C10AEC"/>
    <w:rsid w:val="00C15AEE"/>
    <w:rsid w:val="00C16652"/>
    <w:rsid w:val="00C16FEC"/>
    <w:rsid w:val="00C2035B"/>
    <w:rsid w:val="00C23E46"/>
    <w:rsid w:val="00C25610"/>
    <w:rsid w:val="00C34DFF"/>
    <w:rsid w:val="00C354A8"/>
    <w:rsid w:val="00C453A5"/>
    <w:rsid w:val="00C45D17"/>
    <w:rsid w:val="00C4614C"/>
    <w:rsid w:val="00C50704"/>
    <w:rsid w:val="00C53ED1"/>
    <w:rsid w:val="00C575D9"/>
    <w:rsid w:val="00C575E2"/>
    <w:rsid w:val="00C57F44"/>
    <w:rsid w:val="00C630D6"/>
    <w:rsid w:val="00C637CF"/>
    <w:rsid w:val="00C72B3E"/>
    <w:rsid w:val="00C83E94"/>
    <w:rsid w:val="00C84CFA"/>
    <w:rsid w:val="00C84EB3"/>
    <w:rsid w:val="00C85666"/>
    <w:rsid w:val="00C85BDA"/>
    <w:rsid w:val="00C85FE3"/>
    <w:rsid w:val="00C86F4D"/>
    <w:rsid w:val="00C902F3"/>
    <w:rsid w:val="00C9156B"/>
    <w:rsid w:val="00CA0B67"/>
    <w:rsid w:val="00CA20F8"/>
    <w:rsid w:val="00CA5FA6"/>
    <w:rsid w:val="00CB19D2"/>
    <w:rsid w:val="00CB4050"/>
    <w:rsid w:val="00CB6A2E"/>
    <w:rsid w:val="00CC0122"/>
    <w:rsid w:val="00CC0DAF"/>
    <w:rsid w:val="00CC20A0"/>
    <w:rsid w:val="00CC37AD"/>
    <w:rsid w:val="00CC4DD6"/>
    <w:rsid w:val="00CC4E02"/>
    <w:rsid w:val="00CC6370"/>
    <w:rsid w:val="00CD2B48"/>
    <w:rsid w:val="00CD2C00"/>
    <w:rsid w:val="00CD41CD"/>
    <w:rsid w:val="00CD5D51"/>
    <w:rsid w:val="00CE1868"/>
    <w:rsid w:val="00CE1BFF"/>
    <w:rsid w:val="00CE27DC"/>
    <w:rsid w:val="00CE47CE"/>
    <w:rsid w:val="00CE51BA"/>
    <w:rsid w:val="00CF1B46"/>
    <w:rsid w:val="00CF4D51"/>
    <w:rsid w:val="00CF614D"/>
    <w:rsid w:val="00CF6903"/>
    <w:rsid w:val="00D0020F"/>
    <w:rsid w:val="00D032A7"/>
    <w:rsid w:val="00D04AC3"/>
    <w:rsid w:val="00D07036"/>
    <w:rsid w:val="00D1407C"/>
    <w:rsid w:val="00D14C8E"/>
    <w:rsid w:val="00D245D5"/>
    <w:rsid w:val="00D24AAC"/>
    <w:rsid w:val="00D305DD"/>
    <w:rsid w:val="00D332FD"/>
    <w:rsid w:val="00D4017A"/>
    <w:rsid w:val="00D409EF"/>
    <w:rsid w:val="00D40DA6"/>
    <w:rsid w:val="00D414CA"/>
    <w:rsid w:val="00D41691"/>
    <w:rsid w:val="00D424C2"/>
    <w:rsid w:val="00D42763"/>
    <w:rsid w:val="00D43377"/>
    <w:rsid w:val="00D4396A"/>
    <w:rsid w:val="00D44320"/>
    <w:rsid w:val="00D52A17"/>
    <w:rsid w:val="00D531A2"/>
    <w:rsid w:val="00D61A9C"/>
    <w:rsid w:val="00D626CC"/>
    <w:rsid w:val="00D7084B"/>
    <w:rsid w:val="00D71284"/>
    <w:rsid w:val="00D7269F"/>
    <w:rsid w:val="00D735F5"/>
    <w:rsid w:val="00D77283"/>
    <w:rsid w:val="00D7791F"/>
    <w:rsid w:val="00D83D64"/>
    <w:rsid w:val="00DA14AE"/>
    <w:rsid w:val="00DA56BE"/>
    <w:rsid w:val="00DA69B1"/>
    <w:rsid w:val="00DA6DE1"/>
    <w:rsid w:val="00DB1200"/>
    <w:rsid w:val="00DB2820"/>
    <w:rsid w:val="00DB2D68"/>
    <w:rsid w:val="00DB51B3"/>
    <w:rsid w:val="00DB7748"/>
    <w:rsid w:val="00DC0C10"/>
    <w:rsid w:val="00DC4669"/>
    <w:rsid w:val="00DD023E"/>
    <w:rsid w:val="00DD6581"/>
    <w:rsid w:val="00DD7B19"/>
    <w:rsid w:val="00DE148E"/>
    <w:rsid w:val="00DE1B5F"/>
    <w:rsid w:val="00DE4216"/>
    <w:rsid w:val="00DF0E19"/>
    <w:rsid w:val="00DF1B4E"/>
    <w:rsid w:val="00DF48D3"/>
    <w:rsid w:val="00DF5503"/>
    <w:rsid w:val="00E0064A"/>
    <w:rsid w:val="00E0177C"/>
    <w:rsid w:val="00E021CE"/>
    <w:rsid w:val="00E060F5"/>
    <w:rsid w:val="00E066DB"/>
    <w:rsid w:val="00E069DD"/>
    <w:rsid w:val="00E10795"/>
    <w:rsid w:val="00E145D0"/>
    <w:rsid w:val="00E14BA1"/>
    <w:rsid w:val="00E14DBC"/>
    <w:rsid w:val="00E16311"/>
    <w:rsid w:val="00E17500"/>
    <w:rsid w:val="00E26E50"/>
    <w:rsid w:val="00E32361"/>
    <w:rsid w:val="00E32EB0"/>
    <w:rsid w:val="00E36FA7"/>
    <w:rsid w:val="00E43EDF"/>
    <w:rsid w:val="00E44953"/>
    <w:rsid w:val="00E45CA5"/>
    <w:rsid w:val="00E50620"/>
    <w:rsid w:val="00E508A5"/>
    <w:rsid w:val="00E5142D"/>
    <w:rsid w:val="00E51A41"/>
    <w:rsid w:val="00E55B39"/>
    <w:rsid w:val="00E56A91"/>
    <w:rsid w:val="00E57CF3"/>
    <w:rsid w:val="00E6211F"/>
    <w:rsid w:val="00E64585"/>
    <w:rsid w:val="00E6755C"/>
    <w:rsid w:val="00E726B6"/>
    <w:rsid w:val="00E726CC"/>
    <w:rsid w:val="00E72D76"/>
    <w:rsid w:val="00E7394B"/>
    <w:rsid w:val="00E73B1A"/>
    <w:rsid w:val="00E75455"/>
    <w:rsid w:val="00E807A7"/>
    <w:rsid w:val="00E81773"/>
    <w:rsid w:val="00E8405D"/>
    <w:rsid w:val="00E84AD1"/>
    <w:rsid w:val="00E879D4"/>
    <w:rsid w:val="00E91879"/>
    <w:rsid w:val="00EA00C5"/>
    <w:rsid w:val="00EA108B"/>
    <w:rsid w:val="00EA2304"/>
    <w:rsid w:val="00EA35E8"/>
    <w:rsid w:val="00EA5932"/>
    <w:rsid w:val="00EA73B5"/>
    <w:rsid w:val="00EA7C9E"/>
    <w:rsid w:val="00EB0177"/>
    <w:rsid w:val="00EB025D"/>
    <w:rsid w:val="00EB0736"/>
    <w:rsid w:val="00EB145A"/>
    <w:rsid w:val="00EB73A7"/>
    <w:rsid w:val="00EB7AFD"/>
    <w:rsid w:val="00EC0E91"/>
    <w:rsid w:val="00EC1544"/>
    <w:rsid w:val="00EC4488"/>
    <w:rsid w:val="00EC4E4B"/>
    <w:rsid w:val="00EC7D90"/>
    <w:rsid w:val="00ED0838"/>
    <w:rsid w:val="00ED16C1"/>
    <w:rsid w:val="00ED2109"/>
    <w:rsid w:val="00ED5755"/>
    <w:rsid w:val="00ED71EE"/>
    <w:rsid w:val="00EE3200"/>
    <w:rsid w:val="00EF2709"/>
    <w:rsid w:val="00EF2FA8"/>
    <w:rsid w:val="00EF33F2"/>
    <w:rsid w:val="00EF67B9"/>
    <w:rsid w:val="00F00F3E"/>
    <w:rsid w:val="00F01372"/>
    <w:rsid w:val="00F06EBE"/>
    <w:rsid w:val="00F07235"/>
    <w:rsid w:val="00F10B6A"/>
    <w:rsid w:val="00F12291"/>
    <w:rsid w:val="00F131FF"/>
    <w:rsid w:val="00F1507F"/>
    <w:rsid w:val="00F16DA5"/>
    <w:rsid w:val="00F17756"/>
    <w:rsid w:val="00F20FFC"/>
    <w:rsid w:val="00F21C84"/>
    <w:rsid w:val="00F246BA"/>
    <w:rsid w:val="00F30D9B"/>
    <w:rsid w:val="00F357DF"/>
    <w:rsid w:val="00F35D4D"/>
    <w:rsid w:val="00F36CE9"/>
    <w:rsid w:val="00F372AE"/>
    <w:rsid w:val="00F375EA"/>
    <w:rsid w:val="00F40C7C"/>
    <w:rsid w:val="00F41ADF"/>
    <w:rsid w:val="00F478A6"/>
    <w:rsid w:val="00F50185"/>
    <w:rsid w:val="00F52E28"/>
    <w:rsid w:val="00F53784"/>
    <w:rsid w:val="00F553AE"/>
    <w:rsid w:val="00F559BC"/>
    <w:rsid w:val="00F564CF"/>
    <w:rsid w:val="00F56FF9"/>
    <w:rsid w:val="00F5759B"/>
    <w:rsid w:val="00F6507B"/>
    <w:rsid w:val="00F67571"/>
    <w:rsid w:val="00F72A91"/>
    <w:rsid w:val="00F72D1E"/>
    <w:rsid w:val="00F80684"/>
    <w:rsid w:val="00F868AE"/>
    <w:rsid w:val="00F878E9"/>
    <w:rsid w:val="00F90E7B"/>
    <w:rsid w:val="00F92D64"/>
    <w:rsid w:val="00F93C10"/>
    <w:rsid w:val="00F94E8B"/>
    <w:rsid w:val="00F9532F"/>
    <w:rsid w:val="00FA4035"/>
    <w:rsid w:val="00FB12AD"/>
    <w:rsid w:val="00FB5856"/>
    <w:rsid w:val="00FB6916"/>
    <w:rsid w:val="00FC477B"/>
    <w:rsid w:val="00FD339F"/>
    <w:rsid w:val="00FD34C3"/>
    <w:rsid w:val="00FD726B"/>
    <w:rsid w:val="00FE0822"/>
    <w:rsid w:val="00FE2E70"/>
    <w:rsid w:val="00FE6788"/>
    <w:rsid w:val="00FF4012"/>
    <w:rsid w:val="00FF4B2B"/>
    <w:rsid w:val="00FF4E27"/>
    <w:rsid w:val="00FF7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D5A0"/>
  <w15:docId w15:val="{62634987-A044-4B99-8469-57C07E1C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456F05"/>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Titre3"/>
    <w:next w:val="-LettreTexteGEDA"/>
    <w:link w:val="Titre4Car"/>
    <w:qFormat/>
    <w:rsid w:val="00456F05"/>
    <w:pPr>
      <w:keepLines w:val="0"/>
      <w:numPr>
        <w:numId w:val="6"/>
      </w:numPr>
      <w:spacing w:before="180"/>
      <w:ind w:left="283" w:hanging="283"/>
      <w:outlineLvl w:val="3"/>
    </w:pPr>
    <w:rPr>
      <w:rFonts w:ascii="Times New Roman" w:eastAsia="Times New Roman" w:hAnsi="Times New Roman" w:cs="Arial"/>
      <w:bCs w:val="0"/>
      <w:iCs/>
      <w:caps/>
      <w:color w:val="auto"/>
      <w:szCs w:val="20"/>
      <w:lang w:eastAsia="en-U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aliases w:val="Paragraphe de liste num,Paragraphe de liste 1,Listes,Fluvial1,Ss titre"/>
    <w:basedOn w:val="Normal"/>
    <w:link w:val="ParagraphedelisteCar"/>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uiPriority w:val="99"/>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aliases w:val="Paragraphe de liste num Car,Paragraphe de liste 1 Car,Listes Car,Fluvial1 Car,Ss titre Car"/>
    <w:basedOn w:val="Policepardfaut"/>
    <w:link w:val="Paragraphedeliste"/>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rsid w:val="00825657"/>
    <w:rPr>
      <w:rFonts w:ascii="Times New Roman" w:hAnsi="Times New Roman" w:cs="Times New Roman"/>
      <w:sz w:val="20"/>
      <w:szCs w:val="20"/>
    </w:rPr>
  </w:style>
  <w:style w:type="character" w:styleId="Appelnotedebasdep">
    <w:name w:val="footnote reference"/>
    <w:basedOn w:val="Policepardfaut"/>
    <w:uiPriority w:val="99"/>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 w:type="paragraph" w:styleId="Sous-titre">
    <w:name w:val="Subtitle"/>
    <w:basedOn w:val="Normal"/>
    <w:next w:val="Normal"/>
    <w:link w:val="Sous-titreCar"/>
    <w:uiPriority w:val="11"/>
    <w:qFormat/>
    <w:rsid w:val="00B76EC6"/>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B76EC6"/>
    <w:rPr>
      <w:rFonts w:ascii="Cambria" w:eastAsia="Times New Roman" w:hAnsi="Cambria" w:cs="Times New Roman"/>
      <w:b/>
      <w:sz w:val="24"/>
      <w:szCs w:val="24"/>
      <w:u w:val="single"/>
      <w:lang w:eastAsia="fr-FR"/>
    </w:rPr>
  </w:style>
  <w:style w:type="paragraph" w:customStyle="1" w:styleId="-SignataireNomGEDA">
    <w:name w:val="- Signataire:Nom            GEDA"/>
    <w:rsid w:val="00DC0C10"/>
    <w:pPr>
      <w:keepNext/>
      <w:overflowPunct w:val="0"/>
      <w:autoSpaceDE w:val="0"/>
      <w:autoSpaceDN w:val="0"/>
      <w:adjustRightInd w:val="0"/>
      <w:spacing w:before="1080" w:after="0" w:line="240" w:lineRule="auto"/>
      <w:jc w:val="center"/>
    </w:pPr>
    <w:rPr>
      <w:rFonts w:ascii="Times New Roman" w:eastAsia="Times New Roman" w:hAnsi="Times New Roman" w:cs="Times New Roman"/>
      <w:sz w:val="24"/>
      <w:szCs w:val="20"/>
      <w:lang w:eastAsia="fr-FR"/>
    </w:rPr>
  </w:style>
  <w:style w:type="paragraph" w:customStyle="1" w:styleId="-ActeAttenduConsidrantGEDA">
    <w:name w:val="- Acte:Attendu (Considérant)  GEDA"/>
    <w:basedOn w:val="-ActeAttenduVuGEDA"/>
    <w:rsid w:val="00F16DA5"/>
    <w:pPr>
      <w:numPr>
        <w:numId w:val="5"/>
      </w:numPr>
    </w:pPr>
  </w:style>
  <w:style w:type="paragraph" w:customStyle="1" w:styleId="-LettreRefGEDA">
    <w:name w:val="- Lettre:Ref                  GEDA"/>
    <w:basedOn w:val="-LettreObjetGEDA"/>
    <w:next w:val="-LettreSuiteORefPJGEDA"/>
    <w:rsid w:val="00990AE0"/>
    <w:pPr>
      <w:spacing w:before="80"/>
    </w:pPr>
  </w:style>
  <w:style w:type="character" w:customStyle="1" w:styleId="Titre4Car">
    <w:name w:val="Titre 4 Car"/>
    <w:basedOn w:val="Policepardfaut"/>
    <w:link w:val="Titre4"/>
    <w:rsid w:val="00456F05"/>
    <w:rPr>
      <w:rFonts w:ascii="Times New Roman" w:eastAsia="Times New Roman" w:hAnsi="Times New Roman" w:cs="Arial"/>
      <w:b/>
      <w:iCs/>
      <w:caps/>
      <w:sz w:val="24"/>
      <w:szCs w:val="20"/>
    </w:rPr>
  </w:style>
  <w:style w:type="character" w:customStyle="1" w:styleId="Titre3Car">
    <w:name w:val="Titre 3 Car"/>
    <w:basedOn w:val="Policepardfaut"/>
    <w:link w:val="Titre3"/>
    <w:uiPriority w:val="9"/>
    <w:semiHidden/>
    <w:rsid w:val="00456F05"/>
    <w:rPr>
      <w:rFonts w:asciiTheme="majorHAnsi" w:eastAsiaTheme="majorEastAsia" w:hAnsiTheme="majorHAnsi" w:cstheme="majorBidi"/>
      <w:b/>
      <w:bCs/>
      <w:color w:val="4F81BD" w:themeColor="accent1"/>
      <w:sz w:val="24"/>
      <w:szCs w:val="24"/>
      <w:lang w:eastAsia="es-ES"/>
    </w:rPr>
  </w:style>
  <w:style w:type="table" w:customStyle="1" w:styleId="TableauGrille4-Accentuation41">
    <w:name w:val="Tableau Grille 4 - Accentuation 41"/>
    <w:basedOn w:val="TableauNormal"/>
    <w:uiPriority w:val="49"/>
    <w:rsid w:val="00164559"/>
    <w:pPr>
      <w:spacing w:after="0" w:line="240" w:lineRule="auto"/>
    </w:pPr>
    <w:rPr>
      <w:rFonts w:eastAsia="Times New Roman"/>
      <w:sz w:val="24"/>
      <w:szCs w:val="24"/>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EnteteLieuetdateGEDA">
    <w:name w:val="- Entete:Lieu et date      GEDA"/>
    <w:rsid w:val="00AA06CE"/>
    <w:pPr>
      <w:overflowPunct w:val="0"/>
      <w:autoSpaceDE w:val="0"/>
      <w:autoSpaceDN w:val="0"/>
      <w:adjustRightInd w:val="0"/>
      <w:spacing w:after="240" w:line="240" w:lineRule="auto"/>
      <w:ind w:left="851"/>
      <w:textAlignment w:val="baseline"/>
    </w:pPr>
    <w:rPr>
      <w:rFonts w:ascii="Times New Roman" w:eastAsia="Times New Roman" w:hAnsi="Times New Roman" w:cs="Times New Roman"/>
      <w:noProof/>
      <w:sz w:val="24"/>
      <w:szCs w:val="20"/>
      <w:lang w:eastAsia="fr-FR"/>
    </w:rPr>
  </w:style>
  <w:style w:type="character" w:customStyle="1" w:styleId="Aucun">
    <w:name w:val="Aucun"/>
    <w:rsid w:val="00C84EB3"/>
  </w:style>
  <w:style w:type="numbering" w:customStyle="1" w:styleId="Style9import">
    <w:name w:val="Style 9 importé"/>
    <w:rsid w:val="00C84EB3"/>
    <w:pPr>
      <w:numPr>
        <w:numId w:val="7"/>
      </w:numPr>
    </w:pPr>
  </w:style>
  <w:style w:type="character" w:customStyle="1" w:styleId="textexposedshow">
    <w:name w:val="text_exposed_show"/>
    <w:basedOn w:val="Policepardfaut"/>
    <w:rsid w:val="001E128A"/>
  </w:style>
  <w:style w:type="paragraph" w:customStyle="1" w:styleId="-LettreDestinataireGEDA">
    <w:name w:val="- Lettre:Destinataire    GEDA"/>
    <w:basedOn w:val="Normal"/>
    <w:next w:val="Normal"/>
    <w:rsid w:val="00C15AEE"/>
    <w:pPr>
      <w:overflowPunct w:val="0"/>
      <w:autoSpaceDE w:val="0"/>
      <w:autoSpaceDN w:val="0"/>
      <w:adjustRightInd w:val="0"/>
      <w:spacing w:before="360"/>
      <w:jc w:val="center"/>
    </w:pPr>
    <w:rPr>
      <w:b/>
      <w:noProof/>
      <w:szCs w:val="20"/>
      <w:lang w:eastAsia="fr-FR"/>
    </w:rPr>
  </w:style>
  <w:style w:type="paragraph" w:customStyle="1" w:styleId="-LettreAffairesuivieGEDA">
    <w:name w:val="- Lettre:Affaire suivie                GEDA"/>
    <w:rsid w:val="001E547E"/>
    <w:pPr>
      <w:numPr>
        <w:numId w:val="8"/>
      </w:numPr>
      <w:tabs>
        <w:tab w:val="clear" w:pos="2880"/>
        <w:tab w:val="num" w:pos="2160"/>
      </w:tabs>
      <w:spacing w:before="240" w:after="0" w:line="240" w:lineRule="auto"/>
      <w:ind w:left="180" w:right="5652" w:firstLine="180"/>
      <w:jc w:val="center"/>
    </w:pPr>
    <w:rPr>
      <w:rFonts w:ascii="Times New Roman" w:eastAsia="Times New Roman" w:hAnsi="Times New Roman" w:cs="Times New Roman"/>
      <w:i/>
      <w:iCs/>
      <w:noProof/>
      <w:sz w:val="18"/>
      <w:szCs w:val="20"/>
      <w:lang w:eastAsia="fr-FR"/>
    </w:rPr>
  </w:style>
  <w:style w:type="paragraph" w:customStyle="1" w:styleId="alinea">
    <w:name w:val="alinea"/>
    <w:basedOn w:val="Normal"/>
    <w:rsid w:val="00E726B6"/>
    <w:pPr>
      <w:spacing w:before="100" w:beforeAutospacing="1" w:after="100" w:afterAutospacing="1"/>
    </w:pPr>
    <w:rPr>
      <w:lang w:eastAsia="fr-FR"/>
    </w:rPr>
  </w:style>
  <w:style w:type="table" w:styleId="Grilledutableau">
    <w:name w:val="Table Grid"/>
    <w:basedOn w:val="TableauNormal"/>
    <w:uiPriority w:val="59"/>
    <w:rsid w:val="00C16FEC"/>
    <w:pPr>
      <w:spacing w:after="0" w:line="240" w:lineRule="auto"/>
    </w:pPr>
    <w:rPr>
      <w:rFonts w:ascii="Times New Roman" w:hAnsi="Times New Roman" w:cs="Times New Roman"/>
      <w:sz w:val="24"/>
      <w:szCs w:val="24"/>
      <w:u w:color="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
    <w:name w:val="Corps du texte_"/>
    <w:basedOn w:val="Policepardfaut"/>
    <w:link w:val="Corpsdutexte0"/>
    <w:rsid w:val="00CC6370"/>
    <w:rPr>
      <w:rFonts w:ascii="Times New Roman" w:eastAsia="Times New Roman" w:hAnsi="Times New Roman" w:cs="Times New Roman"/>
      <w:sz w:val="19"/>
      <w:szCs w:val="19"/>
      <w:shd w:val="clear" w:color="auto" w:fill="FFFFFF"/>
    </w:rPr>
  </w:style>
  <w:style w:type="paragraph" w:customStyle="1" w:styleId="Corpsdutexte0">
    <w:name w:val="Corps du texte"/>
    <w:basedOn w:val="Normal"/>
    <w:link w:val="Corpsdutexte"/>
    <w:rsid w:val="00CC6370"/>
    <w:pPr>
      <w:widowControl w:val="0"/>
      <w:shd w:val="clear" w:color="auto" w:fill="FFFFFF"/>
      <w:spacing w:before="480" w:after="240" w:line="269" w:lineRule="exact"/>
      <w:ind w:firstLine="720"/>
      <w:jc w:val="both"/>
    </w:pPr>
    <w:rPr>
      <w:sz w:val="19"/>
      <w:szCs w:val="19"/>
      <w:lang w:eastAsia="en-US"/>
    </w:rPr>
  </w:style>
  <w:style w:type="paragraph" w:customStyle="1" w:styleId="Normal1">
    <w:name w:val="Normal1"/>
    <w:rsid w:val="00CC6370"/>
    <w:pPr>
      <w:spacing w:after="0" w:line="240" w:lineRule="auto"/>
    </w:pPr>
    <w:rPr>
      <w:rFonts w:ascii="Times New Roman" w:eastAsia="Times New Roman" w:hAnsi="Times New Roman" w:cs="Times New Roman"/>
      <w:sz w:val="24"/>
      <w:szCs w:val="24"/>
      <w:lang w:eastAsia="fr-FR"/>
    </w:rPr>
  </w:style>
  <w:style w:type="paragraph" w:styleId="Textebrut">
    <w:name w:val="Plain Text"/>
    <w:basedOn w:val="Normal"/>
    <w:link w:val="TextebrutCar"/>
    <w:uiPriority w:val="99"/>
    <w:unhideWhenUsed/>
    <w:rsid w:val="00227DAE"/>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227DAE"/>
    <w:rPr>
      <w:rFonts w:ascii="Calibri" w:hAnsi="Calibri"/>
      <w:szCs w:val="21"/>
    </w:rPr>
  </w:style>
  <w:style w:type="paragraph" w:customStyle="1" w:styleId="-EnteteNORGEDA">
    <w:name w:val="- Entete:NOR                GEDA"/>
    <w:rsid w:val="0053719D"/>
    <w:pPr>
      <w:tabs>
        <w:tab w:val="right" w:pos="3544"/>
      </w:tabs>
      <w:overflowPunct w:val="0"/>
      <w:autoSpaceDE w:val="0"/>
      <w:autoSpaceDN w:val="0"/>
      <w:adjustRightInd w:val="0"/>
      <w:spacing w:after="480" w:line="240" w:lineRule="auto"/>
      <w:ind w:left="284"/>
      <w:textAlignment w:val="baseline"/>
    </w:pPr>
    <w:rPr>
      <w:rFonts w:ascii="Times New Roman" w:eastAsia="Times New Roman" w:hAnsi="Times New Roman" w:cs="Times New Roman"/>
      <w:sz w:val="1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240">
      <w:bodyDiv w:val="1"/>
      <w:marLeft w:val="0"/>
      <w:marRight w:val="0"/>
      <w:marTop w:val="0"/>
      <w:marBottom w:val="0"/>
      <w:divBdr>
        <w:top w:val="none" w:sz="0" w:space="0" w:color="auto"/>
        <w:left w:val="none" w:sz="0" w:space="0" w:color="auto"/>
        <w:bottom w:val="none" w:sz="0" w:space="0" w:color="auto"/>
        <w:right w:val="none" w:sz="0" w:space="0" w:color="auto"/>
      </w:divBdr>
    </w:div>
    <w:div w:id="27146237">
      <w:bodyDiv w:val="1"/>
      <w:marLeft w:val="0"/>
      <w:marRight w:val="0"/>
      <w:marTop w:val="0"/>
      <w:marBottom w:val="0"/>
      <w:divBdr>
        <w:top w:val="none" w:sz="0" w:space="0" w:color="auto"/>
        <w:left w:val="none" w:sz="0" w:space="0" w:color="auto"/>
        <w:bottom w:val="none" w:sz="0" w:space="0" w:color="auto"/>
        <w:right w:val="none" w:sz="0" w:space="0" w:color="auto"/>
      </w:divBdr>
    </w:div>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52320067">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76099281">
      <w:bodyDiv w:val="1"/>
      <w:marLeft w:val="0"/>
      <w:marRight w:val="0"/>
      <w:marTop w:val="0"/>
      <w:marBottom w:val="0"/>
      <w:divBdr>
        <w:top w:val="none" w:sz="0" w:space="0" w:color="auto"/>
        <w:left w:val="none" w:sz="0" w:space="0" w:color="auto"/>
        <w:bottom w:val="none" w:sz="0" w:space="0" w:color="auto"/>
        <w:right w:val="none" w:sz="0" w:space="0" w:color="auto"/>
      </w:divBdr>
    </w:div>
    <w:div w:id="77139318">
      <w:bodyDiv w:val="1"/>
      <w:marLeft w:val="0"/>
      <w:marRight w:val="0"/>
      <w:marTop w:val="0"/>
      <w:marBottom w:val="0"/>
      <w:divBdr>
        <w:top w:val="none" w:sz="0" w:space="0" w:color="auto"/>
        <w:left w:val="none" w:sz="0" w:space="0" w:color="auto"/>
        <w:bottom w:val="none" w:sz="0" w:space="0" w:color="auto"/>
        <w:right w:val="none" w:sz="0" w:space="0" w:color="auto"/>
      </w:divBdr>
    </w:div>
    <w:div w:id="107480614">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39613454">
      <w:bodyDiv w:val="1"/>
      <w:marLeft w:val="0"/>
      <w:marRight w:val="0"/>
      <w:marTop w:val="0"/>
      <w:marBottom w:val="0"/>
      <w:divBdr>
        <w:top w:val="none" w:sz="0" w:space="0" w:color="auto"/>
        <w:left w:val="none" w:sz="0" w:space="0" w:color="auto"/>
        <w:bottom w:val="none" w:sz="0" w:space="0" w:color="auto"/>
        <w:right w:val="none" w:sz="0" w:space="0" w:color="auto"/>
      </w:divBdr>
    </w:div>
    <w:div w:id="153298529">
      <w:bodyDiv w:val="1"/>
      <w:marLeft w:val="0"/>
      <w:marRight w:val="0"/>
      <w:marTop w:val="0"/>
      <w:marBottom w:val="0"/>
      <w:divBdr>
        <w:top w:val="none" w:sz="0" w:space="0" w:color="auto"/>
        <w:left w:val="none" w:sz="0" w:space="0" w:color="auto"/>
        <w:bottom w:val="none" w:sz="0" w:space="0" w:color="auto"/>
        <w:right w:val="none" w:sz="0" w:space="0" w:color="auto"/>
      </w:divBdr>
    </w:div>
    <w:div w:id="153378207">
      <w:bodyDiv w:val="1"/>
      <w:marLeft w:val="0"/>
      <w:marRight w:val="0"/>
      <w:marTop w:val="0"/>
      <w:marBottom w:val="0"/>
      <w:divBdr>
        <w:top w:val="none" w:sz="0" w:space="0" w:color="auto"/>
        <w:left w:val="none" w:sz="0" w:space="0" w:color="auto"/>
        <w:bottom w:val="none" w:sz="0" w:space="0" w:color="auto"/>
        <w:right w:val="none" w:sz="0" w:space="0" w:color="auto"/>
      </w:divBdr>
    </w:div>
    <w:div w:id="156699497">
      <w:bodyDiv w:val="1"/>
      <w:marLeft w:val="0"/>
      <w:marRight w:val="0"/>
      <w:marTop w:val="0"/>
      <w:marBottom w:val="0"/>
      <w:divBdr>
        <w:top w:val="none" w:sz="0" w:space="0" w:color="auto"/>
        <w:left w:val="none" w:sz="0" w:space="0" w:color="auto"/>
        <w:bottom w:val="none" w:sz="0" w:space="0" w:color="auto"/>
        <w:right w:val="none" w:sz="0" w:space="0" w:color="auto"/>
      </w:divBdr>
    </w:div>
    <w:div w:id="158274397">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198006304">
      <w:bodyDiv w:val="1"/>
      <w:marLeft w:val="0"/>
      <w:marRight w:val="0"/>
      <w:marTop w:val="0"/>
      <w:marBottom w:val="0"/>
      <w:divBdr>
        <w:top w:val="none" w:sz="0" w:space="0" w:color="auto"/>
        <w:left w:val="none" w:sz="0" w:space="0" w:color="auto"/>
        <w:bottom w:val="none" w:sz="0" w:space="0" w:color="auto"/>
        <w:right w:val="none" w:sz="0" w:space="0" w:color="auto"/>
      </w:divBdr>
    </w:div>
    <w:div w:id="214003931">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55872037">
      <w:bodyDiv w:val="1"/>
      <w:marLeft w:val="0"/>
      <w:marRight w:val="0"/>
      <w:marTop w:val="0"/>
      <w:marBottom w:val="0"/>
      <w:divBdr>
        <w:top w:val="none" w:sz="0" w:space="0" w:color="auto"/>
        <w:left w:val="none" w:sz="0" w:space="0" w:color="auto"/>
        <w:bottom w:val="none" w:sz="0" w:space="0" w:color="auto"/>
        <w:right w:val="none" w:sz="0" w:space="0" w:color="auto"/>
      </w:divBdr>
    </w:div>
    <w:div w:id="257493491">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1035735">
      <w:bodyDiv w:val="1"/>
      <w:marLeft w:val="0"/>
      <w:marRight w:val="0"/>
      <w:marTop w:val="0"/>
      <w:marBottom w:val="0"/>
      <w:divBdr>
        <w:top w:val="none" w:sz="0" w:space="0" w:color="auto"/>
        <w:left w:val="none" w:sz="0" w:space="0" w:color="auto"/>
        <w:bottom w:val="none" w:sz="0" w:space="0" w:color="auto"/>
        <w:right w:val="none" w:sz="0" w:space="0" w:color="auto"/>
      </w:divBdr>
    </w:div>
    <w:div w:id="282543905">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44796363">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83873001">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362796">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34440916">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68085270">
      <w:bodyDiv w:val="1"/>
      <w:marLeft w:val="0"/>
      <w:marRight w:val="0"/>
      <w:marTop w:val="0"/>
      <w:marBottom w:val="0"/>
      <w:divBdr>
        <w:top w:val="none" w:sz="0" w:space="0" w:color="auto"/>
        <w:left w:val="none" w:sz="0" w:space="0" w:color="auto"/>
        <w:bottom w:val="none" w:sz="0" w:space="0" w:color="auto"/>
        <w:right w:val="none" w:sz="0" w:space="0" w:color="auto"/>
      </w:divBdr>
    </w:div>
    <w:div w:id="478690919">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495145490">
      <w:bodyDiv w:val="1"/>
      <w:marLeft w:val="0"/>
      <w:marRight w:val="0"/>
      <w:marTop w:val="0"/>
      <w:marBottom w:val="0"/>
      <w:divBdr>
        <w:top w:val="none" w:sz="0" w:space="0" w:color="auto"/>
        <w:left w:val="none" w:sz="0" w:space="0" w:color="auto"/>
        <w:bottom w:val="none" w:sz="0" w:space="0" w:color="auto"/>
        <w:right w:val="none" w:sz="0" w:space="0" w:color="auto"/>
      </w:divBdr>
    </w:div>
    <w:div w:id="516695557">
      <w:bodyDiv w:val="1"/>
      <w:marLeft w:val="0"/>
      <w:marRight w:val="0"/>
      <w:marTop w:val="0"/>
      <w:marBottom w:val="0"/>
      <w:divBdr>
        <w:top w:val="none" w:sz="0" w:space="0" w:color="auto"/>
        <w:left w:val="none" w:sz="0" w:space="0" w:color="auto"/>
        <w:bottom w:val="none" w:sz="0" w:space="0" w:color="auto"/>
        <w:right w:val="none" w:sz="0" w:space="0" w:color="auto"/>
      </w:divBdr>
    </w:div>
    <w:div w:id="536087316">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49418902">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15255438">
      <w:bodyDiv w:val="1"/>
      <w:marLeft w:val="0"/>
      <w:marRight w:val="0"/>
      <w:marTop w:val="0"/>
      <w:marBottom w:val="0"/>
      <w:divBdr>
        <w:top w:val="none" w:sz="0" w:space="0" w:color="auto"/>
        <w:left w:val="none" w:sz="0" w:space="0" w:color="auto"/>
        <w:bottom w:val="none" w:sz="0" w:space="0" w:color="auto"/>
        <w:right w:val="none" w:sz="0" w:space="0" w:color="auto"/>
      </w:divBdr>
    </w:div>
    <w:div w:id="647394167">
      <w:bodyDiv w:val="1"/>
      <w:marLeft w:val="0"/>
      <w:marRight w:val="0"/>
      <w:marTop w:val="0"/>
      <w:marBottom w:val="0"/>
      <w:divBdr>
        <w:top w:val="none" w:sz="0" w:space="0" w:color="auto"/>
        <w:left w:val="none" w:sz="0" w:space="0" w:color="auto"/>
        <w:bottom w:val="none" w:sz="0" w:space="0" w:color="auto"/>
        <w:right w:val="none" w:sz="0" w:space="0" w:color="auto"/>
      </w:divBdr>
    </w:div>
    <w:div w:id="674193142">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86100649">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34857338">
      <w:bodyDiv w:val="1"/>
      <w:marLeft w:val="0"/>
      <w:marRight w:val="0"/>
      <w:marTop w:val="0"/>
      <w:marBottom w:val="0"/>
      <w:divBdr>
        <w:top w:val="none" w:sz="0" w:space="0" w:color="auto"/>
        <w:left w:val="none" w:sz="0" w:space="0" w:color="auto"/>
        <w:bottom w:val="none" w:sz="0" w:space="0" w:color="auto"/>
        <w:right w:val="none" w:sz="0" w:space="0" w:color="auto"/>
      </w:divBdr>
    </w:div>
    <w:div w:id="741412818">
      <w:bodyDiv w:val="1"/>
      <w:marLeft w:val="0"/>
      <w:marRight w:val="0"/>
      <w:marTop w:val="0"/>
      <w:marBottom w:val="0"/>
      <w:divBdr>
        <w:top w:val="none" w:sz="0" w:space="0" w:color="auto"/>
        <w:left w:val="none" w:sz="0" w:space="0" w:color="auto"/>
        <w:bottom w:val="none" w:sz="0" w:space="0" w:color="auto"/>
        <w:right w:val="none" w:sz="0" w:space="0" w:color="auto"/>
      </w:divBdr>
    </w:div>
    <w:div w:id="754861377">
      <w:bodyDiv w:val="1"/>
      <w:marLeft w:val="0"/>
      <w:marRight w:val="0"/>
      <w:marTop w:val="0"/>
      <w:marBottom w:val="0"/>
      <w:divBdr>
        <w:top w:val="none" w:sz="0" w:space="0" w:color="auto"/>
        <w:left w:val="none" w:sz="0" w:space="0" w:color="auto"/>
        <w:bottom w:val="none" w:sz="0" w:space="0" w:color="auto"/>
        <w:right w:val="none" w:sz="0" w:space="0" w:color="auto"/>
      </w:divBdr>
    </w:div>
    <w:div w:id="765417112">
      <w:bodyDiv w:val="1"/>
      <w:marLeft w:val="0"/>
      <w:marRight w:val="0"/>
      <w:marTop w:val="0"/>
      <w:marBottom w:val="0"/>
      <w:divBdr>
        <w:top w:val="none" w:sz="0" w:space="0" w:color="auto"/>
        <w:left w:val="none" w:sz="0" w:space="0" w:color="auto"/>
        <w:bottom w:val="none" w:sz="0" w:space="0" w:color="auto"/>
        <w:right w:val="none" w:sz="0" w:space="0" w:color="auto"/>
      </w:divBdr>
    </w:div>
    <w:div w:id="767652123">
      <w:bodyDiv w:val="1"/>
      <w:marLeft w:val="0"/>
      <w:marRight w:val="0"/>
      <w:marTop w:val="0"/>
      <w:marBottom w:val="0"/>
      <w:divBdr>
        <w:top w:val="none" w:sz="0" w:space="0" w:color="auto"/>
        <w:left w:val="none" w:sz="0" w:space="0" w:color="auto"/>
        <w:bottom w:val="none" w:sz="0" w:space="0" w:color="auto"/>
        <w:right w:val="none" w:sz="0" w:space="0" w:color="auto"/>
      </w:divBdr>
    </w:div>
    <w:div w:id="793329890">
      <w:bodyDiv w:val="1"/>
      <w:marLeft w:val="0"/>
      <w:marRight w:val="0"/>
      <w:marTop w:val="0"/>
      <w:marBottom w:val="0"/>
      <w:divBdr>
        <w:top w:val="none" w:sz="0" w:space="0" w:color="auto"/>
        <w:left w:val="none" w:sz="0" w:space="0" w:color="auto"/>
        <w:bottom w:val="none" w:sz="0" w:space="0" w:color="auto"/>
        <w:right w:val="none" w:sz="0" w:space="0" w:color="auto"/>
      </w:divBdr>
    </w:div>
    <w:div w:id="844170095">
      <w:bodyDiv w:val="1"/>
      <w:marLeft w:val="0"/>
      <w:marRight w:val="0"/>
      <w:marTop w:val="0"/>
      <w:marBottom w:val="0"/>
      <w:divBdr>
        <w:top w:val="none" w:sz="0" w:space="0" w:color="auto"/>
        <w:left w:val="none" w:sz="0" w:space="0" w:color="auto"/>
        <w:bottom w:val="none" w:sz="0" w:space="0" w:color="auto"/>
        <w:right w:val="none" w:sz="0" w:space="0" w:color="auto"/>
      </w:divBdr>
    </w:div>
    <w:div w:id="858086944">
      <w:bodyDiv w:val="1"/>
      <w:marLeft w:val="0"/>
      <w:marRight w:val="0"/>
      <w:marTop w:val="0"/>
      <w:marBottom w:val="0"/>
      <w:divBdr>
        <w:top w:val="none" w:sz="0" w:space="0" w:color="auto"/>
        <w:left w:val="none" w:sz="0" w:space="0" w:color="auto"/>
        <w:bottom w:val="none" w:sz="0" w:space="0" w:color="auto"/>
        <w:right w:val="none" w:sz="0" w:space="0" w:color="auto"/>
      </w:divBdr>
    </w:div>
    <w:div w:id="865944739">
      <w:bodyDiv w:val="1"/>
      <w:marLeft w:val="0"/>
      <w:marRight w:val="0"/>
      <w:marTop w:val="0"/>
      <w:marBottom w:val="0"/>
      <w:divBdr>
        <w:top w:val="none" w:sz="0" w:space="0" w:color="auto"/>
        <w:left w:val="none" w:sz="0" w:space="0" w:color="auto"/>
        <w:bottom w:val="none" w:sz="0" w:space="0" w:color="auto"/>
        <w:right w:val="none" w:sz="0" w:space="0" w:color="auto"/>
      </w:divBdr>
    </w:div>
    <w:div w:id="874848198">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886641880">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995113163">
      <w:bodyDiv w:val="1"/>
      <w:marLeft w:val="0"/>
      <w:marRight w:val="0"/>
      <w:marTop w:val="0"/>
      <w:marBottom w:val="0"/>
      <w:divBdr>
        <w:top w:val="none" w:sz="0" w:space="0" w:color="auto"/>
        <w:left w:val="none" w:sz="0" w:space="0" w:color="auto"/>
        <w:bottom w:val="none" w:sz="0" w:space="0" w:color="auto"/>
        <w:right w:val="none" w:sz="0" w:space="0" w:color="auto"/>
      </w:divBdr>
    </w:div>
    <w:div w:id="1041856012">
      <w:bodyDiv w:val="1"/>
      <w:marLeft w:val="0"/>
      <w:marRight w:val="0"/>
      <w:marTop w:val="0"/>
      <w:marBottom w:val="0"/>
      <w:divBdr>
        <w:top w:val="none" w:sz="0" w:space="0" w:color="auto"/>
        <w:left w:val="none" w:sz="0" w:space="0" w:color="auto"/>
        <w:bottom w:val="none" w:sz="0" w:space="0" w:color="auto"/>
        <w:right w:val="none" w:sz="0" w:space="0" w:color="auto"/>
      </w:divBdr>
    </w:div>
    <w:div w:id="1080101988">
      <w:bodyDiv w:val="1"/>
      <w:marLeft w:val="0"/>
      <w:marRight w:val="0"/>
      <w:marTop w:val="0"/>
      <w:marBottom w:val="0"/>
      <w:divBdr>
        <w:top w:val="none" w:sz="0" w:space="0" w:color="auto"/>
        <w:left w:val="none" w:sz="0" w:space="0" w:color="auto"/>
        <w:bottom w:val="none" w:sz="0" w:space="0" w:color="auto"/>
        <w:right w:val="none" w:sz="0" w:space="0" w:color="auto"/>
      </w:divBdr>
    </w:div>
    <w:div w:id="1084106740">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188175135">
      <w:bodyDiv w:val="1"/>
      <w:marLeft w:val="0"/>
      <w:marRight w:val="0"/>
      <w:marTop w:val="0"/>
      <w:marBottom w:val="0"/>
      <w:divBdr>
        <w:top w:val="none" w:sz="0" w:space="0" w:color="auto"/>
        <w:left w:val="none" w:sz="0" w:space="0" w:color="auto"/>
        <w:bottom w:val="none" w:sz="0" w:space="0" w:color="auto"/>
        <w:right w:val="none" w:sz="0" w:space="0" w:color="auto"/>
      </w:divBdr>
    </w:div>
    <w:div w:id="1197696459">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38124984">
      <w:bodyDiv w:val="1"/>
      <w:marLeft w:val="0"/>
      <w:marRight w:val="0"/>
      <w:marTop w:val="0"/>
      <w:marBottom w:val="0"/>
      <w:divBdr>
        <w:top w:val="none" w:sz="0" w:space="0" w:color="auto"/>
        <w:left w:val="none" w:sz="0" w:space="0" w:color="auto"/>
        <w:bottom w:val="none" w:sz="0" w:space="0" w:color="auto"/>
        <w:right w:val="none" w:sz="0" w:space="0" w:color="auto"/>
      </w:divBdr>
    </w:div>
    <w:div w:id="1242250885">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56269440">
      <w:bodyDiv w:val="1"/>
      <w:marLeft w:val="0"/>
      <w:marRight w:val="0"/>
      <w:marTop w:val="0"/>
      <w:marBottom w:val="0"/>
      <w:divBdr>
        <w:top w:val="none" w:sz="0" w:space="0" w:color="auto"/>
        <w:left w:val="none" w:sz="0" w:space="0" w:color="auto"/>
        <w:bottom w:val="none" w:sz="0" w:space="0" w:color="auto"/>
        <w:right w:val="none" w:sz="0" w:space="0" w:color="auto"/>
      </w:divBdr>
    </w:div>
    <w:div w:id="1364985160">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83554933">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33937471">
      <w:bodyDiv w:val="1"/>
      <w:marLeft w:val="0"/>
      <w:marRight w:val="0"/>
      <w:marTop w:val="0"/>
      <w:marBottom w:val="0"/>
      <w:divBdr>
        <w:top w:val="none" w:sz="0" w:space="0" w:color="auto"/>
        <w:left w:val="none" w:sz="0" w:space="0" w:color="auto"/>
        <w:bottom w:val="none" w:sz="0" w:space="0" w:color="auto"/>
        <w:right w:val="none" w:sz="0" w:space="0" w:color="auto"/>
      </w:divBdr>
    </w:div>
    <w:div w:id="1451776235">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486553852">
      <w:bodyDiv w:val="1"/>
      <w:marLeft w:val="0"/>
      <w:marRight w:val="0"/>
      <w:marTop w:val="0"/>
      <w:marBottom w:val="0"/>
      <w:divBdr>
        <w:top w:val="none" w:sz="0" w:space="0" w:color="auto"/>
        <w:left w:val="none" w:sz="0" w:space="0" w:color="auto"/>
        <w:bottom w:val="none" w:sz="0" w:space="0" w:color="auto"/>
        <w:right w:val="none" w:sz="0" w:space="0" w:color="auto"/>
      </w:divBdr>
    </w:div>
    <w:div w:id="1507868574">
      <w:bodyDiv w:val="1"/>
      <w:marLeft w:val="0"/>
      <w:marRight w:val="0"/>
      <w:marTop w:val="0"/>
      <w:marBottom w:val="0"/>
      <w:divBdr>
        <w:top w:val="none" w:sz="0" w:space="0" w:color="auto"/>
        <w:left w:val="none" w:sz="0" w:space="0" w:color="auto"/>
        <w:bottom w:val="none" w:sz="0" w:space="0" w:color="auto"/>
        <w:right w:val="none" w:sz="0" w:space="0" w:color="auto"/>
      </w:divBdr>
    </w:div>
    <w:div w:id="1532256436">
      <w:bodyDiv w:val="1"/>
      <w:marLeft w:val="0"/>
      <w:marRight w:val="0"/>
      <w:marTop w:val="0"/>
      <w:marBottom w:val="0"/>
      <w:divBdr>
        <w:top w:val="none" w:sz="0" w:space="0" w:color="auto"/>
        <w:left w:val="none" w:sz="0" w:space="0" w:color="auto"/>
        <w:bottom w:val="none" w:sz="0" w:space="0" w:color="auto"/>
        <w:right w:val="none" w:sz="0" w:space="0" w:color="auto"/>
      </w:divBdr>
    </w:div>
    <w:div w:id="1537081444">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580749783">
      <w:bodyDiv w:val="1"/>
      <w:marLeft w:val="0"/>
      <w:marRight w:val="0"/>
      <w:marTop w:val="0"/>
      <w:marBottom w:val="0"/>
      <w:divBdr>
        <w:top w:val="none" w:sz="0" w:space="0" w:color="auto"/>
        <w:left w:val="none" w:sz="0" w:space="0" w:color="auto"/>
        <w:bottom w:val="none" w:sz="0" w:space="0" w:color="auto"/>
        <w:right w:val="none" w:sz="0" w:space="0" w:color="auto"/>
      </w:divBdr>
    </w:div>
    <w:div w:id="1616205794">
      <w:bodyDiv w:val="1"/>
      <w:marLeft w:val="0"/>
      <w:marRight w:val="0"/>
      <w:marTop w:val="0"/>
      <w:marBottom w:val="0"/>
      <w:divBdr>
        <w:top w:val="none" w:sz="0" w:space="0" w:color="auto"/>
        <w:left w:val="none" w:sz="0" w:space="0" w:color="auto"/>
        <w:bottom w:val="none" w:sz="0" w:space="0" w:color="auto"/>
        <w:right w:val="none" w:sz="0" w:space="0" w:color="auto"/>
      </w:divBdr>
    </w:div>
    <w:div w:id="1619482794">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690331189">
      <w:bodyDiv w:val="1"/>
      <w:marLeft w:val="0"/>
      <w:marRight w:val="0"/>
      <w:marTop w:val="0"/>
      <w:marBottom w:val="0"/>
      <w:divBdr>
        <w:top w:val="none" w:sz="0" w:space="0" w:color="auto"/>
        <w:left w:val="none" w:sz="0" w:space="0" w:color="auto"/>
        <w:bottom w:val="none" w:sz="0" w:space="0" w:color="auto"/>
        <w:right w:val="none" w:sz="0" w:space="0" w:color="auto"/>
      </w:divBdr>
    </w:div>
    <w:div w:id="17233585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37587376">
      <w:bodyDiv w:val="1"/>
      <w:marLeft w:val="0"/>
      <w:marRight w:val="0"/>
      <w:marTop w:val="0"/>
      <w:marBottom w:val="0"/>
      <w:divBdr>
        <w:top w:val="none" w:sz="0" w:space="0" w:color="auto"/>
        <w:left w:val="none" w:sz="0" w:space="0" w:color="auto"/>
        <w:bottom w:val="none" w:sz="0" w:space="0" w:color="auto"/>
        <w:right w:val="none" w:sz="0" w:space="0" w:color="auto"/>
      </w:divBdr>
    </w:div>
    <w:div w:id="1747871847">
      <w:bodyDiv w:val="1"/>
      <w:marLeft w:val="0"/>
      <w:marRight w:val="0"/>
      <w:marTop w:val="0"/>
      <w:marBottom w:val="0"/>
      <w:divBdr>
        <w:top w:val="none" w:sz="0" w:space="0" w:color="auto"/>
        <w:left w:val="none" w:sz="0" w:space="0" w:color="auto"/>
        <w:bottom w:val="none" w:sz="0" w:space="0" w:color="auto"/>
        <w:right w:val="none" w:sz="0" w:space="0" w:color="auto"/>
      </w:divBdr>
    </w:div>
    <w:div w:id="1752506117">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59331871">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790203177">
      <w:bodyDiv w:val="1"/>
      <w:marLeft w:val="0"/>
      <w:marRight w:val="0"/>
      <w:marTop w:val="0"/>
      <w:marBottom w:val="0"/>
      <w:divBdr>
        <w:top w:val="none" w:sz="0" w:space="0" w:color="auto"/>
        <w:left w:val="none" w:sz="0" w:space="0" w:color="auto"/>
        <w:bottom w:val="none" w:sz="0" w:space="0" w:color="auto"/>
        <w:right w:val="none" w:sz="0" w:space="0" w:color="auto"/>
      </w:divBdr>
    </w:div>
    <w:div w:id="1803883107">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24925955">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57766432">
      <w:bodyDiv w:val="1"/>
      <w:marLeft w:val="0"/>
      <w:marRight w:val="0"/>
      <w:marTop w:val="0"/>
      <w:marBottom w:val="0"/>
      <w:divBdr>
        <w:top w:val="none" w:sz="0" w:space="0" w:color="auto"/>
        <w:left w:val="none" w:sz="0" w:space="0" w:color="auto"/>
        <w:bottom w:val="none" w:sz="0" w:space="0" w:color="auto"/>
        <w:right w:val="none" w:sz="0" w:space="0" w:color="auto"/>
      </w:divBdr>
    </w:div>
    <w:div w:id="1890527503">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13999567">
      <w:bodyDiv w:val="1"/>
      <w:marLeft w:val="0"/>
      <w:marRight w:val="0"/>
      <w:marTop w:val="0"/>
      <w:marBottom w:val="0"/>
      <w:divBdr>
        <w:top w:val="none" w:sz="0" w:space="0" w:color="auto"/>
        <w:left w:val="none" w:sz="0" w:space="0" w:color="auto"/>
        <w:bottom w:val="none" w:sz="0" w:space="0" w:color="auto"/>
        <w:right w:val="none" w:sz="0" w:space="0" w:color="auto"/>
      </w:divBdr>
    </w:div>
    <w:div w:id="1915775507">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1991596248">
      <w:bodyDiv w:val="1"/>
      <w:marLeft w:val="0"/>
      <w:marRight w:val="0"/>
      <w:marTop w:val="0"/>
      <w:marBottom w:val="0"/>
      <w:divBdr>
        <w:top w:val="none" w:sz="0" w:space="0" w:color="auto"/>
        <w:left w:val="none" w:sz="0" w:space="0" w:color="auto"/>
        <w:bottom w:val="none" w:sz="0" w:space="0" w:color="auto"/>
        <w:right w:val="none" w:sz="0" w:space="0" w:color="auto"/>
      </w:divBdr>
    </w:div>
    <w:div w:id="2001276612">
      <w:bodyDiv w:val="1"/>
      <w:marLeft w:val="0"/>
      <w:marRight w:val="0"/>
      <w:marTop w:val="0"/>
      <w:marBottom w:val="0"/>
      <w:divBdr>
        <w:top w:val="none" w:sz="0" w:space="0" w:color="auto"/>
        <w:left w:val="none" w:sz="0" w:space="0" w:color="auto"/>
        <w:bottom w:val="none" w:sz="0" w:space="0" w:color="auto"/>
        <w:right w:val="none" w:sz="0" w:space="0" w:color="auto"/>
      </w:divBdr>
    </w:div>
    <w:div w:id="2003042773">
      <w:bodyDiv w:val="1"/>
      <w:marLeft w:val="0"/>
      <w:marRight w:val="0"/>
      <w:marTop w:val="0"/>
      <w:marBottom w:val="0"/>
      <w:divBdr>
        <w:top w:val="none" w:sz="0" w:space="0" w:color="auto"/>
        <w:left w:val="none" w:sz="0" w:space="0" w:color="auto"/>
        <w:bottom w:val="none" w:sz="0" w:space="0" w:color="auto"/>
        <w:right w:val="none" w:sz="0" w:space="0" w:color="auto"/>
      </w:divBdr>
    </w:div>
    <w:div w:id="2003269296">
      <w:bodyDiv w:val="1"/>
      <w:marLeft w:val="0"/>
      <w:marRight w:val="0"/>
      <w:marTop w:val="0"/>
      <w:marBottom w:val="0"/>
      <w:divBdr>
        <w:top w:val="none" w:sz="0" w:space="0" w:color="auto"/>
        <w:left w:val="none" w:sz="0" w:space="0" w:color="auto"/>
        <w:bottom w:val="none" w:sz="0" w:space="0" w:color="auto"/>
        <w:right w:val="none" w:sz="0" w:space="0" w:color="auto"/>
      </w:divBdr>
    </w:div>
    <w:div w:id="2018267998">
      <w:bodyDiv w:val="1"/>
      <w:marLeft w:val="0"/>
      <w:marRight w:val="0"/>
      <w:marTop w:val="0"/>
      <w:marBottom w:val="0"/>
      <w:divBdr>
        <w:top w:val="none" w:sz="0" w:space="0" w:color="auto"/>
        <w:left w:val="none" w:sz="0" w:space="0" w:color="auto"/>
        <w:bottom w:val="none" w:sz="0" w:space="0" w:color="auto"/>
        <w:right w:val="none" w:sz="0" w:space="0" w:color="auto"/>
      </w:divBdr>
    </w:div>
    <w:div w:id="2043555743">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66247172">
      <w:bodyDiv w:val="1"/>
      <w:marLeft w:val="0"/>
      <w:marRight w:val="0"/>
      <w:marTop w:val="0"/>
      <w:marBottom w:val="0"/>
      <w:divBdr>
        <w:top w:val="none" w:sz="0" w:space="0" w:color="auto"/>
        <w:left w:val="none" w:sz="0" w:space="0" w:color="auto"/>
        <w:bottom w:val="none" w:sz="0" w:space="0" w:color="auto"/>
        <w:right w:val="none" w:sz="0" w:space="0" w:color="auto"/>
      </w:divBdr>
    </w:div>
    <w:div w:id="208283073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089647736">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C8F5-DEEF-4277-9057-76AAA5D1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1899</Words>
  <Characters>10445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Katell KP. PERENNOU</dc:creator>
  <cp:lastModifiedBy>Thibault TM. MARAIS</cp:lastModifiedBy>
  <cp:revision>2</cp:revision>
  <cp:lastPrinted>2019-12-03T18:24:00Z</cp:lastPrinted>
  <dcterms:created xsi:type="dcterms:W3CDTF">2020-10-08T00:21:00Z</dcterms:created>
  <dcterms:modified xsi:type="dcterms:W3CDTF">2020-10-08T00:21:00Z</dcterms:modified>
</cp:coreProperties>
</file>