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625270" w:rsidRDefault="00625270" w:rsidP="00625270">
      <w:pPr>
        <w:rPr>
          <w:lang w:eastAsia="fr-FR"/>
        </w:rPr>
      </w:pPr>
      <w:r w:rsidRPr="00625270">
        <w:rPr>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625270">
        <w:rPr>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625270">
        <w:rPr>
          <w:lang w:eastAsia="fr-FR"/>
        </w:rPr>
        <w:t xml:space="preserve"> </w:t>
      </w:r>
    </w:p>
    <w:p w14:paraId="5B96777C" w14:textId="77777777" w:rsidR="00625270" w:rsidRPr="00625270" w:rsidRDefault="00625270" w:rsidP="00625270">
      <w:pPr>
        <w:jc w:val="center"/>
        <w:rPr>
          <w:rFonts w:ascii="Garamond" w:hAnsi="Garamond"/>
          <w:color w:val="993366"/>
        </w:rPr>
      </w:pPr>
    </w:p>
    <w:p w14:paraId="3672BD85" w14:textId="77777777" w:rsidR="00625270" w:rsidRPr="00625270" w:rsidRDefault="00625270" w:rsidP="00625270">
      <w:pPr>
        <w:rPr>
          <w:rFonts w:ascii="Garamond" w:hAnsi="Garamond"/>
          <w:color w:val="993366"/>
        </w:rPr>
      </w:pPr>
    </w:p>
    <w:p w14:paraId="6ADD5940" w14:textId="77777777" w:rsidR="00625270" w:rsidRPr="00625270" w:rsidRDefault="00625270" w:rsidP="00625270">
      <w:pPr>
        <w:rPr>
          <w:rFonts w:ascii="Garamond" w:hAnsi="Garamond"/>
          <w:color w:val="993366"/>
        </w:rPr>
      </w:pPr>
    </w:p>
    <w:p w14:paraId="48B5E675" w14:textId="77777777" w:rsidR="00625270" w:rsidRPr="00625270" w:rsidRDefault="00625270" w:rsidP="00625270">
      <w:pPr>
        <w:rPr>
          <w:rFonts w:ascii="Garamond" w:hAnsi="Garamond"/>
          <w:color w:val="993366"/>
        </w:rPr>
      </w:pPr>
    </w:p>
    <w:p w14:paraId="0556FA3D" w14:textId="77777777" w:rsidR="00625270" w:rsidRPr="00625270" w:rsidRDefault="00625270" w:rsidP="00625270">
      <w:pPr>
        <w:tabs>
          <w:tab w:val="center" w:pos="4533"/>
          <w:tab w:val="left" w:pos="6544"/>
        </w:tabs>
        <w:rPr>
          <w:u w:val="single"/>
        </w:rPr>
      </w:pPr>
      <w:r w:rsidRPr="00625270">
        <w:rPr>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625270" w:rsidRDefault="00625270" w:rsidP="00625270">
      <w:pPr>
        <w:tabs>
          <w:tab w:val="left" w:pos="3240"/>
        </w:tabs>
        <w:jc w:val="center"/>
        <w:rPr>
          <w:rFonts w:ascii="Cambria" w:hAnsi="Cambria" w:cs="Arial"/>
          <w:b/>
        </w:rPr>
      </w:pPr>
      <w:r w:rsidRPr="00625270">
        <w:rPr>
          <w:rFonts w:ascii="Cambria" w:hAnsi="Cambria" w:cs="Arial"/>
          <w:b/>
        </w:rPr>
        <w:t>BUREAU DE LA COMMUNICATION</w:t>
      </w:r>
    </w:p>
    <w:p w14:paraId="48860829" w14:textId="10B5DBA2" w:rsidR="00625270" w:rsidRPr="00625270" w:rsidRDefault="004C71F3" w:rsidP="00625270">
      <w:pPr>
        <w:tabs>
          <w:tab w:val="left" w:pos="3240"/>
        </w:tabs>
        <w:jc w:val="center"/>
        <w:rPr>
          <w:rFonts w:ascii="Cambria" w:hAnsi="Cambria" w:cs="Arial"/>
          <w:b/>
          <w:i/>
        </w:rPr>
      </w:pPr>
      <w:r>
        <w:rPr>
          <w:rFonts w:ascii="Cambria" w:hAnsi="Cambria" w:cs="Arial"/>
          <w:b/>
          <w:i/>
        </w:rPr>
        <w:t>Mercredi</w:t>
      </w:r>
      <w:r w:rsidR="00625270" w:rsidRPr="00625270">
        <w:rPr>
          <w:rFonts w:ascii="Cambria" w:hAnsi="Cambria" w:cs="Arial"/>
          <w:b/>
          <w:i/>
        </w:rPr>
        <w:t xml:space="preserve"> </w:t>
      </w:r>
      <w:r w:rsidR="00E03ED5">
        <w:rPr>
          <w:rFonts w:ascii="Cambria" w:hAnsi="Cambria" w:cs="Arial"/>
          <w:b/>
          <w:i/>
        </w:rPr>
        <w:t>25</w:t>
      </w:r>
      <w:r w:rsidR="00625270" w:rsidRPr="00625270">
        <w:rPr>
          <w:rFonts w:ascii="Cambria" w:hAnsi="Cambria" w:cs="Arial"/>
          <w:b/>
          <w:i/>
        </w:rPr>
        <w:t xml:space="preserve"> </w:t>
      </w:r>
      <w:r>
        <w:rPr>
          <w:rFonts w:ascii="Cambria" w:hAnsi="Cambria" w:cs="Arial"/>
          <w:b/>
          <w:i/>
        </w:rPr>
        <w:t>novembre</w:t>
      </w:r>
      <w:r w:rsidR="00625270" w:rsidRPr="00625270">
        <w:rPr>
          <w:rFonts w:ascii="Cambria" w:hAnsi="Cambria" w:cs="Arial"/>
          <w:b/>
          <w:i/>
        </w:rPr>
        <w:t xml:space="preserve"> 2020</w:t>
      </w:r>
    </w:p>
    <w:p w14:paraId="58F3DB1E" w14:textId="77777777" w:rsidR="00625270" w:rsidRPr="00625270" w:rsidRDefault="00625270" w:rsidP="00625270">
      <w:pPr>
        <w:tabs>
          <w:tab w:val="left" w:pos="3240"/>
        </w:tabs>
        <w:jc w:val="center"/>
        <w:rPr>
          <w:rFonts w:ascii="Cambria" w:hAnsi="Cambria"/>
        </w:rPr>
      </w:pPr>
      <w:r w:rsidRPr="00625270">
        <w:rPr>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Default="00625270" w:rsidP="00625270">
      <w:pPr>
        <w:overflowPunct w:val="0"/>
        <w:autoSpaceDE w:val="0"/>
        <w:autoSpaceDN w:val="0"/>
        <w:adjustRightInd w:val="0"/>
        <w:spacing w:before="120"/>
        <w:jc w:val="both"/>
        <w:rPr>
          <w:rFonts w:ascii="Cambria" w:hAnsi="Cambria"/>
          <w:b/>
          <w:sz w:val="28"/>
          <w:szCs w:val="28"/>
          <w:lang w:eastAsia="fr-FR"/>
        </w:rPr>
      </w:pPr>
    </w:p>
    <w:p w14:paraId="4D703140" w14:textId="641E3027" w:rsidR="004C71F3" w:rsidRPr="004C71F3" w:rsidRDefault="004C71F3" w:rsidP="004C71F3">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4C71F3">
        <w:rPr>
          <w:rFonts w:ascii="Cambria" w:hAnsi="Cambria"/>
          <w:b/>
        </w:rPr>
        <w:t>Compte rendu du Conseil des ministres</w:t>
      </w:r>
    </w:p>
    <w:p w14:paraId="280E807A" w14:textId="69C2380D" w:rsidR="00E03ED5" w:rsidRDefault="00E03ED5" w:rsidP="00E03ED5">
      <w:pPr>
        <w:rPr>
          <w:rFonts w:ascii="Cambria" w:hAnsi="Cambria"/>
          <w:b/>
          <w:sz w:val="28"/>
          <w:szCs w:val="28"/>
          <w:lang w:eastAsia="fr-FR"/>
        </w:rPr>
      </w:pPr>
    </w:p>
    <w:p w14:paraId="5AED3951" w14:textId="77777777" w:rsidR="009B7485" w:rsidRDefault="009B7485" w:rsidP="00E03ED5">
      <w:pPr>
        <w:rPr>
          <w:rFonts w:ascii="Cambria" w:hAnsi="Cambria"/>
        </w:rPr>
      </w:pPr>
    </w:p>
    <w:p w14:paraId="4DD8C440" w14:textId="77777777" w:rsidR="0031295B" w:rsidRPr="00A433A7" w:rsidRDefault="0031295B" w:rsidP="0031295B">
      <w:pPr>
        <w:spacing w:after="160" w:line="259" w:lineRule="auto"/>
        <w:jc w:val="both"/>
        <w:rPr>
          <w:rFonts w:ascii="Cambria" w:eastAsiaTheme="minorHAnsi" w:hAnsi="Cambria" w:cstheme="minorBidi"/>
          <w:b/>
          <w:bCs/>
          <w:color w:val="000000" w:themeColor="text1"/>
          <w:lang w:eastAsia="en-US"/>
        </w:rPr>
      </w:pPr>
      <w:r w:rsidRPr="00A433A7">
        <w:rPr>
          <w:rFonts w:ascii="Cambria" w:eastAsiaTheme="minorHAnsi" w:hAnsi="Cambria" w:cstheme="minorBidi"/>
          <w:b/>
          <w:bCs/>
          <w:color w:val="000000" w:themeColor="text1"/>
          <w:lang w:eastAsia="en-US"/>
        </w:rPr>
        <w:t xml:space="preserve">Aide financière au Comité polynésien des maisons familiales rurales </w:t>
      </w:r>
    </w:p>
    <w:p w14:paraId="0FEDB221" w14:textId="77777777" w:rsidR="0031295B" w:rsidRPr="005655D6" w:rsidRDefault="0031295B" w:rsidP="0031295B">
      <w:pPr>
        <w:spacing w:after="160" w:line="259" w:lineRule="auto"/>
        <w:jc w:val="both"/>
        <w:rPr>
          <w:rFonts w:ascii="Cambria" w:eastAsiaTheme="minorHAnsi" w:hAnsi="Cambria" w:cstheme="minorBidi"/>
          <w:lang w:eastAsia="en-US"/>
        </w:rPr>
      </w:pPr>
      <w:r w:rsidRPr="005655D6">
        <w:rPr>
          <w:rFonts w:ascii="Cambria" w:eastAsiaTheme="minorHAnsi" w:hAnsi="Cambria" w:cstheme="minorBidi"/>
          <w:lang w:eastAsia="en-US"/>
        </w:rPr>
        <w:t xml:space="preserve">Le Conseil des ministres a octroyé une aide financière au Comité polynésien des maisons familiales rurales (CPMFR) pour financer l’acquisition de matériels agricoles au profit de la MFR </w:t>
      </w:r>
      <w:proofErr w:type="spellStart"/>
      <w:r w:rsidRPr="005655D6">
        <w:rPr>
          <w:rFonts w:ascii="Cambria" w:eastAsiaTheme="minorHAnsi" w:hAnsi="Cambria" w:cstheme="minorBidi"/>
          <w:lang w:eastAsia="en-US"/>
        </w:rPr>
        <w:t>Vairao</w:t>
      </w:r>
      <w:proofErr w:type="spellEnd"/>
      <w:r w:rsidRPr="005655D6">
        <w:rPr>
          <w:rFonts w:ascii="Cambria" w:eastAsiaTheme="minorHAnsi" w:hAnsi="Cambria" w:cstheme="minorBidi"/>
          <w:lang w:eastAsia="en-US"/>
        </w:rPr>
        <w:t xml:space="preserve"> Garçons.</w:t>
      </w:r>
    </w:p>
    <w:p w14:paraId="2CD75E87" w14:textId="77777777" w:rsidR="0031295B" w:rsidRPr="005655D6" w:rsidRDefault="0031295B" w:rsidP="0031295B">
      <w:pPr>
        <w:spacing w:after="160" w:line="259" w:lineRule="auto"/>
        <w:jc w:val="both"/>
        <w:rPr>
          <w:rFonts w:ascii="Cambria" w:eastAsiaTheme="minorHAnsi" w:hAnsi="Cambria" w:cstheme="minorBidi"/>
          <w:lang w:eastAsia="en-US"/>
        </w:rPr>
      </w:pPr>
      <w:r w:rsidRPr="005655D6">
        <w:rPr>
          <w:rFonts w:ascii="Cambria" w:eastAsiaTheme="minorHAnsi" w:hAnsi="Cambria" w:cstheme="minorBidi"/>
          <w:lang w:eastAsia="en-US"/>
        </w:rPr>
        <w:t>Le Comité polynésien des maisons familiales rurales (CPMFR), créé en 1981, représente les 8 associations Maisons familiales rurales (MFR) de Polynésie française auprès des instances publiques (Etat/Pays) et les accompagne dans leur projet associatif, pédagogique et d'investissement.</w:t>
      </w:r>
    </w:p>
    <w:p w14:paraId="5D521FE8" w14:textId="38FEFC8A" w:rsidR="0031295B" w:rsidRPr="005655D6" w:rsidRDefault="0031295B" w:rsidP="0031295B">
      <w:pPr>
        <w:spacing w:after="160" w:line="259" w:lineRule="auto"/>
        <w:jc w:val="both"/>
        <w:rPr>
          <w:rFonts w:ascii="Cambria" w:eastAsiaTheme="minorHAnsi" w:hAnsi="Cambria" w:cstheme="minorBidi"/>
          <w:lang w:eastAsia="en-US"/>
        </w:rPr>
      </w:pPr>
      <w:r w:rsidRPr="005655D6">
        <w:rPr>
          <w:rFonts w:ascii="Cambria" w:eastAsiaTheme="minorHAnsi" w:hAnsi="Cambria" w:cstheme="minorBidi"/>
          <w:lang w:eastAsia="en-US"/>
        </w:rPr>
        <w:t>Les Maisons familiales rurales proposent des formations scolaires diplômantes de la 4</w:t>
      </w:r>
      <w:r w:rsidR="00A433A7" w:rsidRPr="00A433A7">
        <w:rPr>
          <w:rFonts w:ascii="Cambria" w:eastAsiaTheme="minorHAnsi" w:hAnsi="Cambria" w:cstheme="minorBidi"/>
          <w:vertAlign w:val="superscript"/>
          <w:lang w:eastAsia="en-US"/>
        </w:rPr>
        <w:t>ème</w:t>
      </w:r>
      <w:r w:rsidR="00A433A7">
        <w:rPr>
          <w:rFonts w:ascii="Cambria" w:eastAsiaTheme="minorHAnsi" w:hAnsi="Cambria" w:cstheme="minorBidi"/>
          <w:lang w:eastAsia="en-US"/>
        </w:rPr>
        <w:t xml:space="preserve"> </w:t>
      </w:r>
      <w:r w:rsidRPr="005655D6">
        <w:rPr>
          <w:rFonts w:ascii="Cambria" w:eastAsiaTheme="minorHAnsi" w:hAnsi="Cambria" w:cstheme="minorBidi"/>
          <w:lang w:eastAsia="en-US"/>
        </w:rPr>
        <w:t>de l’enseignement agricole au certificat d’aptitude professionnelle agricole spécialité « Agriculture en Régions Chaudes » (</w:t>
      </w:r>
      <w:proofErr w:type="spellStart"/>
      <w:r w:rsidRPr="005655D6">
        <w:rPr>
          <w:rFonts w:ascii="Cambria" w:eastAsiaTheme="minorHAnsi" w:hAnsi="Cambria" w:cstheme="minorBidi"/>
          <w:lang w:eastAsia="en-US"/>
        </w:rPr>
        <w:t>CAPa</w:t>
      </w:r>
      <w:proofErr w:type="spellEnd"/>
      <w:r w:rsidRPr="005655D6">
        <w:rPr>
          <w:rFonts w:ascii="Cambria" w:eastAsiaTheme="minorHAnsi" w:hAnsi="Cambria" w:cstheme="minorBidi"/>
          <w:lang w:eastAsia="en-US"/>
        </w:rPr>
        <w:t xml:space="preserve"> ARC) et certificat d'aptitude professionnelle agricole spécialité « Service aux personnes et vente en espace rural » (</w:t>
      </w:r>
      <w:proofErr w:type="spellStart"/>
      <w:r w:rsidRPr="005655D6">
        <w:rPr>
          <w:rFonts w:ascii="Cambria" w:eastAsiaTheme="minorHAnsi" w:hAnsi="Cambria" w:cstheme="minorBidi"/>
          <w:lang w:eastAsia="en-US"/>
        </w:rPr>
        <w:t>CAPa</w:t>
      </w:r>
      <w:proofErr w:type="spellEnd"/>
      <w:r w:rsidRPr="005655D6">
        <w:rPr>
          <w:rFonts w:ascii="Cambria" w:eastAsiaTheme="minorHAnsi" w:hAnsi="Cambria" w:cstheme="minorBidi"/>
          <w:lang w:eastAsia="en-US"/>
        </w:rPr>
        <w:t xml:space="preserve"> SAPVER).</w:t>
      </w:r>
    </w:p>
    <w:p w14:paraId="63BE2904" w14:textId="4023EE8B" w:rsidR="0031295B" w:rsidRDefault="0031295B" w:rsidP="0031295B">
      <w:pPr>
        <w:spacing w:after="160" w:line="259" w:lineRule="auto"/>
        <w:jc w:val="both"/>
        <w:rPr>
          <w:rFonts w:ascii="Cambria" w:eastAsiaTheme="minorHAnsi" w:hAnsi="Cambria" w:cstheme="minorBidi"/>
          <w:lang w:eastAsia="en-US"/>
        </w:rPr>
      </w:pPr>
      <w:r w:rsidRPr="005655D6">
        <w:rPr>
          <w:rFonts w:ascii="Cambria" w:eastAsiaTheme="minorHAnsi" w:hAnsi="Cambria" w:cstheme="minorBidi"/>
          <w:lang w:eastAsia="en-US"/>
        </w:rPr>
        <w:t xml:space="preserve">Afin de compléter cet apprentissage, la MFR de </w:t>
      </w:r>
      <w:proofErr w:type="spellStart"/>
      <w:r w:rsidRPr="005655D6">
        <w:rPr>
          <w:rFonts w:ascii="Cambria" w:eastAsiaTheme="minorHAnsi" w:hAnsi="Cambria" w:cstheme="minorBidi"/>
          <w:lang w:eastAsia="en-US"/>
        </w:rPr>
        <w:t>Vairao</w:t>
      </w:r>
      <w:proofErr w:type="spellEnd"/>
      <w:r w:rsidRPr="005655D6">
        <w:rPr>
          <w:rFonts w:ascii="Cambria" w:eastAsiaTheme="minorHAnsi" w:hAnsi="Cambria" w:cstheme="minorBidi"/>
          <w:lang w:eastAsia="en-US"/>
        </w:rPr>
        <w:t xml:space="preserve"> a pour objectif de développer les compétences techniques des élèves par l'utilisation de machines et d'outils professionnels qui leur facilitera l'entrée sur le marché du travail. </w:t>
      </w:r>
      <w:r w:rsidR="00A433A7">
        <w:rPr>
          <w:rFonts w:ascii="Cambria" w:eastAsiaTheme="minorHAnsi" w:hAnsi="Cambria" w:cstheme="minorBidi"/>
          <w:lang w:eastAsia="en-US"/>
        </w:rPr>
        <w:t>Dans ce cadre</w:t>
      </w:r>
      <w:r w:rsidRPr="005655D6">
        <w:rPr>
          <w:rFonts w:ascii="Cambria" w:eastAsiaTheme="minorHAnsi" w:hAnsi="Cambria" w:cstheme="minorBidi"/>
          <w:lang w:eastAsia="en-US"/>
        </w:rPr>
        <w:t xml:space="preserve">, la MFR de </w:t>
      </w:r>
      <w:proofErr w:type="spellStart"/>
      <w:r w:rsidRPr="005655D6">
        <w:rPr>
          <w:rFonts w:ascii="Cambria" w:eastAsiaTheme="minorHAnsi" w:hAnsi="Cambria" w:cstheme="minorBidi"/>
          <w:lang w:eastAsia="en-US"/>
        </w:rPr>
        <w:t>Vairao</w:t>
      </w:r>
      <w:proofErr w:type="spellEnd"/>
      <w:r w:rsidRPr="005655D6">
        <w:rPr>
          <w:rFonts w:ascii="Cambria" w:eastAsiaTheme="minorHAnsi" w:hAnsi="Cambria" w:cstheme="minorBidi"/>
          <w:lang w:eastAsia="en-US"/>
        </w:rPr>
        <w:t xml:space="preserve"> souhaite </w:t>
      </w:r>
      <w:r w:rsidR="00A433A7">
        <w:rPr>
          <w:rFonts w:ascii="Cambria" w:eastAsiaTheme="minorHAnsi" w:hAnsi="Cambria" w:cstheme="minorBidi"/>
          <w:lang w:eastAsia="en-US"/>
        </w:rPr>
        <w:t xml:space="preserve">ainsi </w:t>
      </w:r>
      <w:r w:rsidRPr="005655D6">
        <w:rPr>
          <w:rFonts w:ascii="Cambria" w:eastAsiaTheme="minorHAnsi" w:hAnsi="Cambria" w:cstheme="minorBidi"/>
          <w:lang w:eastAsia="en-US"/>
        </w:rPr>
        <w:t>acquérir du matériel agricole</w:t>
      </w:r>
      <w:r w:rsidR="00A433A7">
        <w:rPr>
          <w:rFonts w:ascii="Cambria" w:eastAsiaTheme="minorHAnsi" w:hAnsi="Cambria" w:cstheme="minorBidi"/>
          <w:lang w:eastAsia="en-US"/>
        </w:rPr>
        <w:t xml:space="preserve"> (</w:t>
      </w:r>
      <w:r w:rsidRPr="005655D6">
        <w:rPr>
          <w:rFonts w:ascii="Cambria" w:eastAsiaTheme="minorHAnsi" w:hAnsi="Cambria" w:cstheme="minorBidi"/>
          <w:lang w:eastAsia="en-US"/>
        </w:rPr>
        <w:t xml:space="preserve">tracteurs, </w:t>
      </w:r>
      <w:proofErr w:type="spellStart"/>
      <w:r w:rsidRPr="005655D6">
        <w:rPr>
          <w:rFonts w:ascii="Cambria" w:eastAsiaTheme="minorHAnsi" w:hAnsi="Cambria" w:cstheme="minorBidi"/>
          <w:lang w:eastAsia="en-US"/>
        </w:rPr>
        <w:t>giro</w:t>
      </w:r>
      <w:proofErr w:type="spellEnd"/>
      <w:r w:rsidRPr="005655D6">
        <w:rPr>
          <w:rFonts w:ascii="Cambria" w:eastAsiaTheme="minorHAnsi" w:hAnsi="Cambria" w:cstheme="minorBidi"/>
          <w:lang w:eastAsia="en-US"/>
        </w:rPr>
        <w:t xml:space="preserve">-broyeur, dérouleuse de plastique, </w:t>
      </w:r>
      <w:proofErr w:type="spellStart"/>
      <w:r w:rsidR="00A433A7">
        <w:rPr>
          <w:rFonts w:ascii="Cambria" w:eastAsiaTheme="minorHAnsi" w:hAnsi="Cambria" w:cstheme="minorBidi"/>
          <w:lang w:eastAsia="en-US"/>
        </w:rPr>
        <w:t>etc</w:t>
      </w:r>
      <w:proofErr w:type="spellEnd"/>
      <w:r w:rsidR="00A433A7">
        <w:rPr>
          <w:rFonts w:ascii="Cambria" w:eastAsiaTheme="minorHAnsi" w:hAnsi="Cambria" w:cstheme="minorBidi"/>
          <w:lang w:eastAsia="en-US"/>
        </w:rPr>
        <w:t xml:space="preserve">). </w:t>
      </w:r>
      <w:r w:rsidRPr="005655D6">
        <w:rPr>
          <w:rFonts w:ascii="Cambria" w:eastAsiaTheme="minorHAnsi" w:hAnsi="Cambria" w:cstheme="minorBidi"/>
          <w:lang w:eastAsia="en-US"/>
        </w:rPr>
        <w:t>Le montant de la subvention alloué</w:t>
      </w:r>
      <w:r w:rsidR="00A433A7">
        <w:rPr>
          <w:rFonts w:ascii="Cambria" w:eastAsiaTheme="minorHAnsi" w:hAnsi="Cambria" w:cstheme="minorBidi"/>
          <w:lang w:eastAsia="en-US"/>
        </w:rPr>
        <w:t>e</w:t>
      </w:r>
      <w:r w:rsidRPr="005655D6">
        <w:rPr>
          <w:rFonts w:ascii="Cambria" w:eastAsiaTheme="minorHAnsi" w:hAnsi="Cambria" w:cstheme="minorBidi"/>
          <w:lang w:eastAsia="en-US"/>
        </w:rPr>
        <w:t xml:space="preserve"> </w:t>
      </w:r>
      <w:r w:rsidR="00A433A7">
        <w:rPr>
          <w:rFonts w:ascii="Cambria" w:eastAsiaTheme="minorHAnsi" w:hAnsi="Cambria" w:cstheme="minorBidi"/>
          <w:lang w:eastAsia="en-US"/>
        </w:rPr>
        <w:t xml:space="preserve">par le Conseil des ministres </w:t>
      </w:r>
      <w:r w:rsidRPr="005655D6">
        <w:rPr>
          <w:rFonts w:ascii="Cambria" w:eastAsiaTheme="minorHAnsi" w:hAnsi="Cambria" w:cstheme="minorBidi"/>
          <w:lang w:eastAsia="en-US"/>
        </w:rPr>
        <w:t xml:space="preserve">est de 10 </w:t>
      </w:r>
      <w:r w:rsidR="00A433A7">
        <w:rPr>
          <w:rFonts w:ascii="Cambria" w:eastAsiaTheme="minorHAnsi" w:hAnsi="Cambria" w:cstheme="minorBidi"/>
          <w:lang w:eastAsia="en-US"/>
        </w:rPr>
        <w:t>millions</w:t>
      </w:r>
      <w:r w:rsidRPr="005655D6">
        <w:rPr>
          <w:rFonts w:ascii="Cambria" w:eastAsiaTheme="minorHAnsi" w:hAnsi="Cambria" w:cstheme="minorBidi"/>
          <w:lang w:eastAsia="en-US"/>
        </w:rPr>
        <w:t xml:space="preserve"> </w:t>
      </w:r>
      <w:proofErr w:type="spellStart"/>
      <w:r w:rsidRPr="005655D6">
        <w:rPr>
          <w:rFonts w:ascii="Cambria" w:eastAsiaTheme="minorHAnsi" w:hAnsi="Cambria" w:cstheme="minorBidi"/>
          <w:lang w:eastAsia="en-US"/>
        </w:rPr>
        <w:t>Fcfp</w:t>
      </w:r>
      <w:proofErr w:type="spellEnd"/>
      <w:r w:rsidRPr="005655D6">
        <w:rPr>
          <w:rFonts w:ascii="Cambria" w:eastAsiaTheme="minorHAnsi" w:hAnsi="Cambria" w:cstheme="minorBidi"/>
          <w:lang w:eastAsia="en-US"/>
        </w:rPr>
        <w:t>.</w:t>
      </w:r>
    </w:p>
    <w:p w14:paraId="1138725F" w14:textId="77777777" w:rsidR="0031295B" w:rsidRPr="005655D6" w:rsidRDefault="0031295B" w:rsidP="0031295B">
      <w:pPr>
        <w:spacing w:after="160" w:line="259" w:lineRule="auto"/>
        <w:jc w:val="both"/>
        <w:rPr>
          <w:rFonts w:ascii="Cambria" w:eastAsiaTheme="minorHAnsi" w:hAnsi="Cambria" w:cstheme="minorBidi"/>
          <w:lang w:eastAsia="en-US"/>
        </w:rPr>
      </w:pPr>
    </w:p>
    <w:p w14:paraId="3D8859EA" w14:textId="2AA6D435" w:rsidR="0031295B" w:rsidRPr="00A433A7" w:rsidRDefault="0031295B" w:rsidP="0031295B">
      <w:pPr>
        <w:spacing w:after="160" w:line="259" w:lineRule="auto"/>
        <w:jc w:val="both"/>
        <w:rPr>
          <w:rFonts w:ascii="Cambria" w:eastAsiaTheme="minorHAnsi" w:hAnsi="Cambria" w:cstheme="minorBidi"/>
          <w:b/>
          <w:bCs/>
          <w:color w:val="000000" w:themeColor="text1"/>
          <w:lang w:eastAsia="en-US"/>
        </w:rPr>
      </w:pPr>
      <w:r w:rsidRPr="00A433A7">
        <w:rPr>
          <w:rFonts w:ascii="Cambria" w:eastAsiaTheme="minorHAnsi" w:hAnsi="Cambria" w:cstheme="minorBidi"/>
          <w:b/>
          <w:bCs/>
          <w:color w:val="000000" w:themeColor="text1"/>
          <w:lang w:eastAsia="en-US"/>
        </w:rPr>
        <w:t>Subvention de fonctionnement en fave</w:t>
      </w:r>
      <w:r w:rsidR="00A433A7" w:rsidRPr="00A433A7">
        <w:rPr>
          <w:rFonts w:ascii="Cambria" w:eastAsiaTheme="minorHAnsi" w:hAnsi="Cambria" w:cstheme="minorBidi"/>
          <w:b/>
          <w:bCs/>
          <w:color w:val="000000" w:themeColor="text1"/>
          <w:lang w:eastAsia="en-US"/>
        </w:rPr>
        <w:t>ur de l’association PGEM Moorea</w:t>
      </w:r>
    </w:p>
    <w:p w14:paraId="32EE30B6" w14:textId="104FE8B1" w:rsidR="0031295B" w:rsidRPr="00A433A7" w:rsidRDefault="00A433A7" w:rsidP="0031295B">
      <w:pPr>
        <w:spacing w:after="160" w:line="259" w:lineRule="auto"/>
        <w:jc w:val="both"/>
        <w:rPr>
          <w:rFonts w:ascii="Cambria" w:eastAsiaTheme="minorHAnsi" w:hAnsi="Cambria" w:cstheme="minorBidi"/>
          <w:color w:val="000000" w:themeColor="text1"/>
          <w:lang w:eastAsia="en-US"/>
        </w:rPr>
      </w:pPr>
      <w:r w:rsidRPr="00A433A7">
        <w:rPr>
          <w:rFonts w:ascii="Cambria" w:eastAsiaTheme="minorHAnsi" w:hAnsi="Cambria" w:cstheme="minorBidi"/>
          <w:color w:val="000000" w:themeColor="text1"/>
          <w:lang w:eastAsia="en-US"/>
        </w:rPr>
        <w:t>Afin</w:t>
      </w:r>
      <w:r w:rsidR="0031295B" w:rsidRPr="00A433A7">
        <w:rPr>
          <w:rFonts w:ascii="Cambria" w:eastAsiaTheme="minorHAnsi" w:hAnsi="Cambria" w:cstheme="minorBidi"/>
          <w:color w:val="000000" w:themeColor="text1"/>
          <w:lang w:eastAsia="en-US"/>
        </w:rPr>
        <w:t xml:space="preserve"> d’assurer la promotion et la compréhension par la population du PGEM </w:t>
      </w:r>
      <w:r w:rsidRPr="00A433A7">
        <w:rPr>
          <w:rFonts w:ascii="Cambria" w:eastAsiaTheme="minorHAnsi" w:hAnsi="Cambria" w:cstheme="minorBidi"/>
          <w:color w:val="000000" w:themeColor="text1"/>
          <w:lang w:eastAsia="en-US"/>
        </w:rPr>
        <w:t xml:space="preserve">(Plan de gestion des espaces maritimes) </w:t>
      </w:r>
      <w:r w:rsidR="0031295B" w:rsidRPr="00A433A7">
        <w:rPr>
          <w:rFonts w:ascii="Cambria" w:eastAsiaTheme="minorHAnsi" w:hAnsi="Cambria" w:cstheme="minorBidi"/>
          <w:color w:val="000000" w:themeColor="text1"/>
          <w:lang w:eastAsia="en-US"/>
        </w:rPr>
        <w:t xml:space="preserve">de Moorea, le Conseil des ministres </w:t>
      </w:r>
      <w:r w:rsidRPr="00A433A7">
        <w:rPr>
          <w:rFonts w:ascii="Cambria" w:eastAsiaTheme="minorHAnsi" w:hAnsi="Cambria" w:cstheme="minorBidi"/>
          <w:color w:val="000000" w:themeColor="text1"/>
          <w:lang w:eastAsia="en-US"/>
        </w:rPr>
        <w:t xml:space="preserve">a </w:t>
      </w:r>
      <w:r w:rsidR="0031295B" w:rsidRPr="00A433A7">
        <w:rPr>
          <w:rFonts w:ascii="Cambria" w:eastAsiaTheme="minorHAnsi" w:hAnsi="Cambria" w:cstheme="minorBidi"/>
          <w:color w:val="000000" w:themeColor="text1"/>
          <w:lang w:eastAsia="en-US"/>
        </w:rPr>
        <w:t xml:space="preserve">attribué une subvention de fonctionnement de 4 </w:t>
      </w:r>
      <w:r w:rsidRPr="00A433A7">
        <w:rPr>
          <w:rFonts w:ascii="Cambria" w:eastAsiaTheme="minorHAnsi" w:hAnsi="Cambria" w:cstheme="minorBidi"/>
          <w:color w:val="000000" w:themeColor="text1"/>
          <w:lang w:eastAsia="en-US"/>
        </w:rPr>
        <w:t xml:space="preserve">millions </w:t>
      </w:r>
      <w:proofErr w:type="spellStart"/>
      <w:r w:rsidRPr="00A433A7">
        <w:rPr>
          <w:rFonts w:ascii="Cambria" w:eastAsiaTheme="minorHAnsi" w:hAnsi="Cambria" w:cstheme="minorBidi"/>
          <w:color w:val="000000" w:themeColor="text1"/>
          <w:lang w:eastAsia="en-US"/>
        </w:rPr>
        <w:t>Fcfp</w:t>
      </w:r>
      <w:proofErr w:type="spellEnd"/>
      <w:r w:rsidR="0031295B" w:rsidRPr="00A433A7">
        <w:rPr>
          <w:rFonts w:ascii="Cambria" w:eastAsiaTheme="minorHAnsi" w:hAnsi="Cambria" w:cstheme="minorBidi"/>
          <w:color w:val="000000" w:themeColor="text1"/>
          <w:lang w:eastAsia="en-US"/>
        </w:rPr>
        <w:t xml:space="preserve"> en faveur de l’association PGEM Moorea au titre de l’année 2020.</w:t>
      </w:r>
    </w:p>
    <w:p w14:paraId="76CF93A0" w14:textId="36FE62E0" w:rsidR="0031295B" w:rsidRPr="005655D6" w:rsidRDefault="0031295B" w:rsidP="0031295B">
      <w:pPr>
        <w:spacing w:after="160" w:line="259" w:lineRule="auto"/>
        <w:jc w:val="both"/>
        <w:rPr>
          <w:rFonts w:ascii="Cambria" w:eastAsiaTheme="minorHAnsi" w:hAnsi="Cambria" w:cstheme="minorBidi"/>
          <w:lang w:eastAsia="en-US"/>
        </w:rPr>
      </w:pPr>
      <w:r w:rsidRPr="005655D6">
        <w:rPr>
          <w:rFonts w:ascii="Cambria" w:eastAsiaTheme="minorHAnsi" w:hAnsi="Cambria" w:cstheme="minorBidi"/>
          <w:lang w:eastAsia="en-US"/>
        </w:rPr>
        <w:t xml:space="preserve">L’association PGEM Moorea a été fondée en 2007 pour assurer les missions de communication et sensibilisation nécessaires à l’appropriation du Plan de gestion de l’espace maritime de </w:t>
      </w:r>
      <w:r w:rsidR="00A433A7">
        <w:rPr>
          <w:rFonts w:ascii="Cambria" w:eastAsiaTheme="minorHAnsi" w:hAnsi="Cambria" w:cstheme="minorBidi"/>
          <w:lang w:eastAsia="en-US"/>
        </w:rPr>
        <w:t xml:space="preserve">l’île de </w:t>
      </w:r>
      <w:r w:rsidRPr="005655D6">
        <w:rPr>
          <w:rFonts w:ascii="Cambria" w:eastAsiaTheme="minorHAnsi" w:hAnsi="Cambria" w:cstheme="minorBidi"/>
          <w:lang w:eastAsia="en-US"/>
        </w:rPr>
        <w:t xml:space="preserve">Moorea par la population. En effet, cette association réalise des actions primordiales à l’application des règles édictées par le PGEM, notamment par sa présence sur le terrain. </w:t>
      </w:r>
    </w:p>
    <w:p w14:paraId="06F1C61D" w14:textId="446E1B66" w:rsidR="0031295B" w:rsidRPr="005655D6" w:rsidRDefault="0031295B" w:rsidP="00A433A7">
      <w:pPr>
        <w:spacing w:after="160" w:line="259" w:lineRule="auto"/>
        <w:jc w:val="both"/>
        <w:rPr>
          <w:rFonts w:ascii="Cambria" w:eastAsiaTheme="minorHAnsi" w:hAnsi="Cambria" w:cstheme="minorBidi"/>
          <w:lang w:eastAsia="en-US"/>
        </w:rPr>
      </w:pPr>
      <w:r w:rsidRPr="005655D6">
        <w:rPr>
          <w:rFonts w:ascii="Cambria" w:eastAsiaTheme="minorHAnsi" w:hAnsi="Cambria" w:cstheme="minorBidi"/>
          <w:lang w:eastAsia="en-US"/>
        </w:rPr>
        <w:lastRenderedPageBreak/>
        <w:t>Les actions de l’association sont notamment concentrées sur :</w:t>
      </w:r>
      <w:r w:rsidR="00A433A7">
        <w:rPr>
          <w:rFonts w:ascii="Cambria" w:eastAsiaTheme="minorHAnsi" w:hAnsi="Cambria" w:cstheme="minorBidi"/>
          <w:lang w:eastAsia="en-US"/>
        </w:rPr>
        <w:t xml:space="preserve"> </w:t>
      </w:r>
      <w:r w:rsidRPr="005655D6">
        <w:rPr>
          <w:rFonts w:ascii="Cambria" w:eastAsiaTheme="minorHAnsi" w:hAnsi="Cambria" w:cstheme="minorBidi"/>
          <w:lang w:eastAsia="en-US"/>
        </w:rPr>
        <w:t>la sensibilisation des usagers du lagon, notamment par une présence marquée sur l’eau, des distributions de prospectus à l’arrivée des ferrys, dans les écoles et lors de manifestations ;</w:t>
      </w:r>
      <w:r w:rsidR="00A433A7">
        <w:rPr>
          <w:rFonts w:ascii="Cambria" w:eastAsiaTheme="minorHAnsi" w:hAnsi="Cambria" w:cstheme="minorBidi"/>
          <w:lang w:eastAsia="en-US"/>
        </w:rPr>
        <w:t xml:space="preserve"> </w:t>
      </w:r>
      <w:r w:rsidRPr="005655D6">
        <w:rPr>
          <w:rFonts w:ascii="Cambria" w:eastAsiaTheme="minorHAnsi" w:hAnsi="Cambria" w:cstheme="minorBidi"/>
          <w:lang w:eastAsia="en-US"/>
        </w:rPr>
        <w:t>la surveillance du lagon ;</w:t>
      </w:r>
      <w:r w:rsidR="00A433A7">
        <w:rPr>
          <w:rFonts w:ascii="Cambria" w:eastAsiaTheme="minorHAnsi" w:hAnsi="Cambria" w:cstheme="minorBidi"/>
          <w:lang w:eastAsia="en-US"/>
        </w:rPr>
        <w:t xml:space="preserve"> </w:t>
      </w:r>
      <w:r w:rsidRPr="005655D6">
        <w:rPr>
          <w:rFonts w:ascii="Cambria" w:eastAsiaTheme="minorHAnsi" w:hAnsi="Cambria" w:cstheme="minorBidi"/>
          <w:lang w:eastAsia="en-US"/>
        </w:rPr>
        <w:t>la conduite d’une veille scientifique, permettant la vulgarisation des recherches conduites sur le lagon de Moorea ;</w:t>
      </w:r>
      <w:r w:rsidR="00A433A7">
        <w:rPr>
          <w:rFonts w:ascii="Cambria" w:eastAsiaTheme="minorHAnsi" w:hAnsi="Cambria" w:cstheme="minorBidi"/>
          <w:lang w:eastAsia="en-US"/>
        </w:rPr>
        <w:t xml:space="preserve"> </w:t>
      </w:r>
      <w:r w:rsidRPr="005655D6">
        <w:rPr>
          <w:rFonts w:ascii="Cambria" w:eastAsiaTheme="minorHAnsi" w:hAnsi="Cambria" w:cstheme="minorBidi"/>
          <w:lang w:eastAsia="en-US"/>
        </w:rPr>
        <w:t>l’a</w:t>
      </w:r>
      <w:r w:rsidR="00A433A7">
        <w:rPr>
          <w:rFonts w:ascii="Cambria" w:eastAsiaTheme="minorHAnsi" w:hAnsi="Cambria" w:cstheme="minorBidi"/>
          <w:lang w:eastAsia="en-US"/>
        </w:rPr>
        <w:t>nimation de réunions publiques et l</w:t>
      </w:r>
      <w:r w:rsidRPr="005655D6">
        <w:rPr>
          <w:rFonts w:ascii="Cambria" w:eastAsiaTheme="minorHAnsi" w:hAnsi="Cambria" w:cstheme="minorBidi"/>
          <w:lang w:eastAsia="en-US"/>
        </w:rPr>
        <w:t>e développement d’outils de communication</w:t>
      </w:r>
      <w:r w:rsidR="00A433A7">
        <w:rPr>
          <w:rFonts w:ascii="Cambria" w:eastAsiaTheme="minorHAnsi" w:hAnsi="Cambria" w:cstheme="minorBidi"/>
          <w:lang w:eastAsia="en-US"/>
        </w:rPr>
        <w:t xml:space="preserve"> sur cette thématique</w:t>
      </w:r>
      <w:r w:rsidRPr="005655D6">
        <w:rPr>
          <w:rFonts w:ascii="Cambria" w:eastAsiaTheme="minorHAnsi" w:hAnsi="Cambria" w:cstheme="minorBidi"/>
          <w:lang w:eastAsia="en-US"/>
        </w:rPr>
        <w:t>.</w:t>
      </w:r>
    </w:p>
    <w:p w14:paraId="2414C1C2" w14:textId="77777777" w:rsidR="0031295B" w:rsidRPr="005655D6" w:rsidRDefault="0031295B" w:rsidP="0031295B">
      <w:pPr>
        <w:spacing w:after="160" w:line="259" w:lineRule="auto"/>
        <w:jc w:val="both"/>
        <w:rPr>
          <w:rFonts w:ascii="Cambria" w:eastAsiaTheme="minorHAnsi" w:hAnsi="Cambria" w:cstheme="minorBidi"/>
          <w:lang w:eastAsia="en-US"/>
        </w:rPr>
      </w:pPr>
    </w:p>
    <w:p w14:paraId="4B59E786" w14:textId="77777777" w:rsidR="0031295B" w:rsidRPr="00B658D9" w:rsidRDefault="0031295B" w:rsidP="0031295B">
      <w:pPr>
        <w:spacing w:after="160" w:line="259" w:lineRule="auto"/>
        <w:jc w:val="both"/>
        <w:rPr>
          <w:rFonts w:ascii="Cambria" w:eastAsiaTheme="minorHAnsi" w:hAnsi="Cambria" w:cstheme="minorBidi"/>
          <w:b/>
          <w:bCs/>
          <w:color w:val="000000" w:themeColor="text1"/>
          <w:lang w:eastAsia="en-US"/>
        </w:rPr>
      </w:pPr>
      <w:r w:rsidRPr="00B658D9">
        <w:rPr>
          <w:rFonts w:ascii="Cambria" w:eastAsiaTheme="minorHAnsi" w:hAnsi="Cambria" w:cstheme="minorBidi"/>
          <w:b/>
          <w:bCs/>
          <w:color w:val="000000" w:themeColor="text1"/>
          <w:lang w:eastAsia="en-US"/>
        </w:rPr>
        <w:t>Subvention au profit de l’association « Solidarité Productive »</w:t>
      </w:r>
    </w:p>
    <w:p w14:paraId="36CF20F5" w14:textId="77777777" w:rsidR="00B658D9" w:rsidRDefault="0031295B" w:rsidP="0031295B">
      <w:pPr>
        <w:overflowPunct w:val="0"/>
        <w:autoSpaceDE w:val="0"/>
        <w:autoSpaceDN w:val="0"/>
        <w:adjustRightInd w:val="0"/>
        <w:spacing w:before="100" w:beforeAutospacing="1" w:after="100" w:afterAutospacing="1"/>
        <w:jc w:val="both"/>
        <w:rPr>
          <w:rFonts w:ascii="Cambria" w:hAnsi="Cambria"/>
          <w:noProof/>
          <w:lang w:eastAsia="fr-FR"/>
        </w:rPr>
      </w:pPr>
      <w:r w:rsidRPr="005655D6">
        <w:rPr>
          <w:rFonts w:ascii="Cambria" w:hAnsi="Cambria"/>
          <w:lang w:eastAsia="fr-FR"/>
        </w:rPr>
        <w:t>Le Conseil des ministres a octroyé</w:t>
      </w:r>
      <w:r w:rsidR="00B658D9">
        <w:rPr>
          <w:rFonts w:ascii="Cambria" w:hAnsi="Cambria"/>
          <w:noProof/>
          <w:lang w:eastAsia="fr-FR"/>
        </w:rPr>
        <w:t xml:space="preserve"> une subvention d’1 920 738 Fcfp </w:t>
      </w:r>
      <w:r w:rsidRPr="005655D6">
        <w:rPr>
          <w:rFonts w:ascii="Cambria" w:hAnsi="Cambria"/>
          <w:noProof/>
          <w:lang w:eastAsia="fr-FR"/>
        </w:rPr>
        <w:t>au profit de l’association Solidarité Productive</w:t>
      </w:r>
      <w:r w:rsidR="00B658D9">
        <w:rPr>
          <w:rFonts w:ascii="Cambria" w:hAnsi="Cambria"/>
          <w:noProof/>
          <w:lang w:eastAsia="fr-FR"/>
        </w:rPr>
        <w:t>.</w:t>
      </w:r>
      <w:r w:rsidRPr="005655D6">
        <w:rPr>
          <w:rFonts w:ascii="Cambria" w:hAnsi="Cambria"/>
          <w:noProof/>
          <w:lang w:eastAsia="fr-FR"/>
        </w:rPr>
        <w:t xml:space="preserve"> </w:t>
      </w:r>
      <w:r w:rsidR="00B658D9">
        <w:rPr>
          <w:rFonts w:ascii="Cambria" w:hAnsi="Cambria"/>
          <w:noProof/>
          <w:lang w:eastAsia="fr-FR"/>
        </w:rPr>
        <w:t>C</w:t>
      </w:r>
      <w:r w:rsidRPr="005655D6">
        <w:rPr>
          <w:rFonts w:ascii="Cambria" w:hAnsi="Cambria"/>
          <w:noProof/>
          <w:lang w:eastAsia="fr-FR"/>
        </w:rPr>
        <w:t xml:space="preserve">réée en 2016, </w:t>
      </w:r>
      <w:r w:rsidR="00B658D9">
        <w:rPr>
          <w:rFonts w:ascii="Cambria" w:hAnsi="Cambria"/>
          <w:noProof/>
          <w:lang w:eastAsia="fr-FR"/>
        </w:rPr>
        <w:t>cette association, présidée par Loic Labbe, est</w:t>
      </w:r>
      <w:r w:rsidRPr="005655D6">
        <w:rPr>
          <w:rFonts w:ascii="Cambria" w:hAnsi="Cambria"/>
          <w:noProof/>
          <w:lang w:eastAsia="fr-FR"/>
        </w:rPr>
        <w:t xml:space="preserve"> </w:t>
      </w:r>
      <w:r w:rsidR="00B658D9">
        <w:rPr>
          <w:rFonts w:ascii="Cambria" w:hAnsi="Cambria"/>
          <w:noProof/>
          <w:lang w:eastAsia="fr-FR"/>
        </w:rPr>
        <w:t xml:space="preserve">située sur la commune de Mahina. </w:t>
      </w:r>
    </w:p>
    <w:p w14:paraId="76ACE904" w14:textId="6274434D" w:rsidR="007B292A" w:rsidRDefault="00B658D9" w:rsidP="0031295B">
      <w:pPr>
        <w:overflowPunct w:val="0"/>
        <w:autoSpaceDE w:val="0"/>
        <w:autoSpaceDN w:val="0"/>
        <w:adjustRightInd w:val="0"/>
        <w:spacing w:before="100" w:beforeAutospacing="1" w:after="100" w:afterAutospacing="1"/>
        <w:jc w:val="both"/>
        <w:rPr>
          <w:rFonts w:ascii="Cambria" w:hAnsi="Cambria"/>
          <w:bCs/>
          <w:noProof/>
          <w:lang w:eastAsia="fr-FR"/>
        </w:rPr>
      </w:pPr>
      <w:r>
        <w:rPr>
          <w:rFonts w:ascii="Cambria" w:hAnsi="Cambria"/>
          <w:noProof/>
          <w:lang w:eastAsia="fr-FR"/>
        </w:rPr>
        <w:t>L’</w:t>
      </w:r>
      <w:r w:rsidR="0031295B" w:rsidRPr="005655D6">
        <w:rPr>
          <w:rFonts w:ascii="Cambria" w:hAnsi="Cambria"/>
          <w:noProof/>
          <w:lang w:eastAsia="fr-FR"/>
        </w:rPr>
        <w:t>aide à la filière agricole</w:t>
      </w:r>
      <w:r>
        <w:rPr>
          <w:rFonts w:ascii="Cambria" w:hAnsi="Cambria"/>
          <w:noProof/>
          <w:lang w:eastAsia="fr-FR"/>
        </w:rPr>
        <w:t xml:space="preserve"> octroyée est </w:t>
      </w:r>
      <w:r w:rsidR="0031295B" w:rsidRPr="005655D6">
        <w:rPr>
          <w:rFonts w:ascii="Cambria" w:hAnsi="Cambria"/>
          <w:noProof/>
          <w:lang w:eastAsia="fr-FR"/>
        </w:rPr>
        <w:t xml:space="preserve">destinée à </w:t>
      </w:r>
      <w:r w:rsidR="0031295B" w:rsidRPr="005655D6">
        <w:rPr>
          <w:rFonts w:ascii="Cambria" w:hAnsi="Cambria"/>
          <w:bCs/>
          <w:noProof/>
          <w:lang w:eastAsia="fr-FR"/>
        </w:rPr>
        <w:t>contribuer au financement de petits matériels agricoles (broyeurs de végétaux, broue</w:t>
      </w:r>
      <w:r>
        <w:rPr>
          <w:rFonts w:ascii="Cambria" w:hAnsi="Cambria"/>
          <w:bCs/>
          <w:noProof/>
          <w:lang w:eastAsia="fr-FR"/>
        </w:rPr>
        <w:t>ttes, sachets de graines, gants</w:t>
      </w:r>
      <w:r w:rsidR="0031295B" w:rsidRPr="005655D6">
        <w:rPr>
          <w:rFonts w:ascii="Cambria" w:hAnsi="Cambria"/>
          <w:bCs/>
          <w:noProof/>
          <w:lang w:eastAsia="fr-FR"/>
        </w:rPr>
        <w:t>) nécessaires pour la mise en œuvre des formations programmées.</w:t>
      </w:r>
    </w:p>
    <w:p w14:paraId="2146BCC3" w14:textId="77777777" w:rsidR="007B292A" w:rsidRDefault="007B292A" w:rsidP="0031295B">
      <w:pPr>
        <w:overflowPunct w:val="0"/>
        <w:autoSpaceDE w:val="0"/>
        <w:autoSpaceDN w:val="0"/>
        <w:adjustRightInd w:val="0"/>
        <w:spacing w:before="100" w:beforeAutospacing="1" w:after="100" w:afterAutospacing="1"/>
        <w:jc w:val="both"/>
        <w:rPr>
          <w:rFonts w:ascii="Cambria" w:hAnsi="Cambria"/>
          <w:bCs/>
          <w:noProof/>
          <w:lang w:eastAsia="fr-FR"/>
        </w:rPr>
      </w:pPr>
    </w:p>
    <w:p w14:paraId="1E19C45A" w14:textId="77777777" w:rsidR="007B292A" w:rsidRDefault="007B292A" w:rsidP="007B292A">
      <w:pPr>
        <w:pStyle w:val="-LettreTexteGEDA"/>
        <w:spacing w:before="0"/>
        <w:ind w:firstLine="0"/>
        <w:rPr>
          <w:rFonts w:ascii="Cambria" w:hAnsi="Cambria"/>
          <w:b/>
          <w:bCs/>
          <w:szCs w:val="24"/>
        </w:rPr>
      </w:pPr>
      <w:r>
        <w:rPr>
          <w:rFonts w:ascii="Cambria" w:hAnsi="Cambria"/>
          <w:b/>
          <w:bCs/>
        </w:rPr>
        <w:t>Maintien du prix des hydrocarbures au 1</w:t>
      </w:r>
      <w:r>
        <w:rPr>
          <w:rFonts w:ascii="Cambria" w:hAnsi="Cambria"/>
          <w:b/>
          <w:bCs/>
          <w:vertAlign w:val="superscript"/>
        </w:rPr>
        <w:t>er</w:t>
      </w:r>
      <w:r>
        <w:rPr>
          <w:rFonts w:ascii="Cambria" w:hAnsi="Cambria"/>
          <w:b/>
          <w:bCs/>
        </w:rPr>
        <w:t xml:space="preserve"> décembre</w:t>
      </w:r>
    </w:p>
    <w:p w14:paraId="5D8E71CE" w14:textId="77777777" w:rsidR="007B292A" w:rsidRDefault="007B292A" w:rsidP="007B292A">
      <w:pPr>
        <w:pStyle w:val="-LettreTexteGEDA"/>
        <w:spacing w:before="0"/>
        <w:ind w:firstLine="0"/>
        <w:jc w:val="center"/>
        <w:rPr>
          <w:rFonts w:ascii="Cambria" w:hAnsi="Cambria"/>
        </w:rPr>
      </w:pPr>
    </w:p>
    <w:p w14:paraId="3CB0E61F" w14:textId="77777777" w:rsidR="007B292A" w:rsidRDefault="007B292A" w:rsidP="007B292A">
      <w:pPr>
        <w:pStyle w:val="-LettreTexteGEDA"/>
        <w:ind w:firstLine="0"/>
        <w:rPr>
          <w:rFonts w:ascii="Cambria" w:hAnsi="Cambria"/>
        </w:rPr>
      </w:pPr>
      <w:r>
        <w:rPr>
          <w:rFonts w:ascii="Cambria" w:hAnsi="Cambria"/>
        </w:rPr>
        <w:t>Constatant la stabilité des paramètres du marché des hydrocarbures, et afin de soutenir l’économie du Pays, le Conseil des ministres a décidé de maintenir les prix des carburants à leur niveau actuel pour le mois de décembre.</w:t>
      </w:r>
    </w:p>
    <w:p w14:paraId="31C44BE0" w14:textId="77777777" w:rsidR="007B292A" w:rsidRDefault="007B292A" w:rsidP="007B292A">
      <w:pPr>
        <w:pStyle w:val="-LettreTexteGEDA"/>
        <w:ind w:firstLine="0"/>
        <w:rPr>
          <w:rFonts w:ascii="Cambria" w:hAnsi="Cambria"/>
        </w:rPr>
      </w:pPr>
    </w:p>
    <w:p w14:paraId="6978F785" w14:textId="77777777" w:rsidR="007B292A" w:rsidRDefault="007B292A" w:rsidP="007B292A">
      <w:pPr>
        <w:rPr>
          <w:rFonts w:ascii="Cambria" w:hAnsi="Cambria"/>
        </w:rPr>
      </w:pPr>
    </w:p>
    <w:p w14:paraId="60BC955D" w14:textId="77777777" w:rsidR="007B292A" w:rsidRDefault="007B292A" w:rsidP="007B292A">
      <w:pPr>
        <w:pStyle w:val="NormalWeb"/>
        <w:rPr>
          <w:rFonts w:ascii="Cambria" w:hAnsi="Cambria"/>
          <w:b/>
          <w:bCs/>
        </w:rPr>
      </w:pPr>
      <w:r>
        <w:rPr>
          <w:rFonts w:ascii="Cambria" w:hAnsi="Cambria"/>
          <w:b/>
          <w:bCs/>
        </w:rPr>
        <w:t>Subvention pour l’Espace Info Energie (EIE)</w:t>
      </w:r>
    </w:p>
    <w:p w14:paraId="3DBAE7C7" w14:textId="77777777" w:rsidR="007B292A" w:rsidRDefault="007B292A" w:rsidP="007B292A">
      <w:pPr>
        <w:pStyle w:val="default"/>
        <w:jc w:val="both"/>
        <w:rPr>
          <w:rFonts w:ascii="Cambria" w:hAnsi="Cambria"/>
        </w:rPr>
      </w:pPr>
      <w:r>
        <w:rPr>
          <w:rFonts w:ascii="Cambria" w:hAnsi="Cambria"/>
        </w:rPr>
        <w:t xml:space="preserve">Dans le cadre du partenariat établi entre l’ADEME (Agence de l’environnement et de la maîtrise de l’énergie) et la Polynésie française pour l’accompagnement de la transition énergétique, le Pays souhaite mobiliser l’ensemble des acteurs sur des actions de maîtrise de l’énergie en instaurant et en cofinançant le fonctionnement de l’Espace Info Energie (EIE). </w:t>
      </w:r>
    </w:p>
    <w:p w14:paraId="465A92B6" w14:textId="77777777" w:rsidR="007B292A" w:rsidRDefault="007B292A" w:rsidP="007B292A">
      <w:pPr>
        <w:pStyle w:val="default"/>
        <w:jc w:val="both"/>
        <w:rPr>
          <w:rFonts w:ascii="Cambria" w:hAnsi="Cambria"/>
        </w:rPr>
      </w:pPr>
      <w:r>
        <w:rPr>
          <w:rFonts w:ascii="Cambria" w:hAnsi="Cambria"/>
        </w:rPr>
        <w:t> Sous la tutelle de la Fédération des Œuvres Laïques de la Polynésie française, l’EIE a rouvert ses portes en mars 2015 afin de réaliser des actions courantes de sensibilisation et d’information du grand public sur la maîtrise de l’énergie et la réduction des consommations énergétiques. Ainsi, l’EIE a également diffusé un guide « grand public » sur la maîtrise de l’énergie, et élaboré différents supports de sensibilisation (maquettes à destination des scolaires, posters, roll-</w:t>
      </w:r>
      <w:proofErr w:type="spellStart"/>
      <w:r>
        <w:rPr>
          <w:rFonts w:ascii="Cambria" w:hAnsi="Cambria"/>
        </w:rPr>
        <w:t>ups</w:t>
      </w:r>
      <w:proofErr w:type="spellEnd"/>
      <w:r>
        <w:rPr>
          <w:rFonts w:ascii="Cambria" w:hAnsi="Cambria"/>
        </w:rPr>
        <w:t>, divers goodies, etc.). Elle organise également depuis quatre ans la Fête de l’énergie et participe à de nombreuses manifestations visant à promouvoir cette thématique (</w:t>
      </w:r>
      <w:proofErr w:type="spellStart"/>
      <w:r>
        <w:rPr>
          <w:rFonts w:ascii="Cambria" w:hAnsi="Cambria"/>
        </w:rPr>
        <w:t>Earth</w:t>
      </w:r>
      <w:proofErr w:type="spellEnd"/>
      <w:r>
        <w:rPr>
          <w:rFonts w:ascii="Cambria" w:hAnsi="Cambria"/>
        </w:rPr>
        <w:t xml:space="preserve"> </w:t>
      </w:r>
      <w:proofErr w:type="spellStart"/>
      <w:r>
        <w:rPr>
          <w:rFonts w:ascii="Cambria" w:hAnsi="Cambria"/>
        </w:rPr>
        <w:t>Hour</w:t>
      </w:r>
      <w:proofErr w:type="spellEnd"/>
      <w:r>
        <w:rPr>
          <w:rFonts w:ascii="Cambria" w:hAnsi="Cambria"/>
        </w:rPr>
        <w:t xml:space="preserve">, évènements « Save The </w:t>
      </w:r>
      <w:proofErr w:type="spellStart"/>
      <w:r>
        <w:rPr>
          <w:rFonts w:ascii="Cambria" w:hAnsi="Cambria"/>
        </w:rPr>
        <w:t>Coconuts</w:t>
      </w:r>
      <w:proofErr w:type="spellEnd"/>
      <w:r>
        <w:rPr>
          <w:rFonts w:ascii="Cambria" w:hAnsi="Cambria"/>
        </w:rPr>
        <w:t xml:space="preserve"> », Salons de l’habitat, Séminaire éco-écoles, etc.). </w:t>
      </w:r>
    </w:p>
    <w:p w14:paraId="4DB186EF" w14:textId="77777777" w:rsidR="007B292A" w:rsidRDefault="007B292A" w:rsidP="007B292A">
      <w:pPr>
        <w:pStyle w:val="default"/>
        <w:jc w:val="both"/>
        <w:rPr>
          <w:rFonts w:ascii="Cambria" w:hAnsi="Cambria"/>
        </w:rPr>
      </w:pPr>
      <w:r>
        <w:rPr>
          <w:rFonts w:ascii="Cambria" w:hAnsi="Cambria"/>
        </w:rPr>
        <w:t>Via une subvention annuelle de fonctionnement en faveur de la Fédération des Œuvres Laïques, le Pays soutient cet effort de communication et de sensibilisation incontournable pour faciliter la transition énergétique de la Polynésie.</w:t>
      </w:r>
    </w:p>
    <w:p w14:paraId="3F7A9305" w14:textId="2E92621B" w:rsidR="00BB17F3" w:rsidRPr="007B292A" w:rsidRDefault="00BB17F3" w:rsidP="007B292A">
      <w:pPr>
        <w:pStyle w:val="default"/>
        <w:jc w:val="both"/>
        <w:rPr>
          <w:rFonts w:ascii="Cambria" w:hAnsi="Cambria"/>
        </w:rPr>
      </w:pPr>
      <w:r w:rsidRPr="000C153E">
        <w:rPr>
          <w:rFonts w:ascii="Cambria" w:hAnsi="Cambria"/>
          <w:b/>
          <w:iCs/>
        </w:rPr>
        <w:lastRenderedPageBreak/>
        <w:t xml:space="preserve">Subvention au profit de l’ISPF pour financer l’enquête « </w:t>
      </w:r>
      <w:proofErr w:type="spellStart"/>
      <w:r w:rsidRPr="000C153E">
        <w:rPr>
          <w:rFonts w:ascii="Cambria" w:hAnsi="Cambria"/>
          <w:b/>
        </w:rPr>
        <w:t>Feti’i</w:t>
      </w:r>
      <w:proofErr w:type="spellEnd"/>
      <w:r w:rsidRPr="000C153E">
        <w:rPr>
          <w:rFonts w:ascii="Cambria" w:hAnsi="Cambria"/>
          <w:b/>
        </w:rPr>
        <w:t xml:space="preserve"> e </w:t>
      </w:r>
      <w:proofErr w:type="spellStart"/>
      <w:r w:rsidRPr="000C153E">
        <w:rPr>
          <w:rFonts w:ascii="Cambria" w:hAnsi="Cambria"/>
          <w:b/>
        </w:rPr>
        <w:t>fenua</w:t>
      </w:r>
      <w:proofErr w:type="spellEnd"/>
      <w:r w:rsidRPr="000C153E">
        <w:rPr>
          <w:rFonts w:ascii="Cambria" w:hAnsi="Cambria"/>
          <w:b/>
          <w:iCs/>
        </w:rPr>
        <w:t xml:space="preserve"> » </w:t>
      </w:r>
    </w:p>
    <w:p w14:paraId="5C66EDC6" w14:textId="77777777" w:rsidR="00BB17F3" w:rsidRPr="000C153E" w:rsidRDefault="00BB17F3" w:rsidP="00BB17F3">
      <w:pPr>
        <w:spacing w:before="240"/>
        <w:jc w:val="both"/>
        <w:rPr>
          <w:rFonts w:ascii="Cambria" w:hAnsi="Cambria"/>
        </w:rPr>
      </w:pPr>
      <w:r w:rsidRPr="000C153E">
        <w:rPr>
          <w:rFonts w:ascii="Cambria" w:hAnsi="Cambria"/>
        </w:rPr>
        <w:t xml:space="preserve">Sur proposition du ministre du Logement et de l’aménagement du territoire, le Conseil des ministres a octroyé une subvention au profit de l’Institut de la statistique de la Polynésie française (ISPF) pour la réalisation d’une enquête dénommée « </w:t>
      </w:r>
      <w:proofErr w:type="spellStart"/>
      <w:r w:rsidRPr="000C153E">
        <w:rPr>
          <w:rFonts w:ascii="Cambria" w:hAnsi="Cambria"/>
        </w:rPr>
        <w:t>Feti’i</w:t>
      </w:r>
      <w:proofErr w:type="spellEnd"/>
      <w:r w:rsidRPr="000C153E">
        <w:rPr>
          <w:rFonts w:ascii="Cambria" w:hAnsi="Cambria"/>
        </w:rPr>
        <w:t xml:space="preserve"> e </w:t>
      </w:r>
      <w:proofErr w:type="spellStart"/>
      <w:r w:rsidRPr="000C153E">
        <w:rPr>
          <w:rFonts w:ascii="Cambria" w:hAnsi="Cambria"/>
        </w:rPr>
        <w:t>fenua</w:t>
      </w:r>
      <w:proofErr w:type="spellEnd"/>
      <w:r w:rsidRPr="000C153E">
        <w:rPr>
          <w:rFonts w:ascii="Cambria" w:hAnsi="Cambria"/>
        </w:rPr>
        <w:t> »,</w:t>
      </w:r>
      <w:r w:rsidRPr="000C153E">
        <w:rPr>
          <w:rFonts w:ascii="Cambria" w:hAnsi="Cambria"/>
          <w:b/>
          <w:i/>
        </w:rPr>
        <w:t xml:space="preserve"> </w:t>
      </w:r>
      <w:r w:rsidRPr="000C153E">
        <w:rPr>
          <w:rFonts w:ascii="Cambria" w:hAnsi="Cambria"/>
        </w:rPr>
        <w:t>concernant le lien entre la famille, le logement et les relations familiales à distance.</w:t>
      </w:r>
    </w:p>
    <w:p w14:paraId="73BC9F4A" w14:textId="77777777" w:rsidR="00BB17F3" w:rsidRPr="000C153E" w:rsidRDefault="00BB17F3" w:rsidP="00BB17F3">
      <w:pPr>
        <w:spacing w:before="240"/>
        <w:jc w:val="both"/>
        <w:rPr>
          <w:rFonts w:ascii="Cambria" w:hAnsi="Cambria"/>
        </w:rPr>
      </w:pPr>
      <w:r w:rsidRPr="000C153E">
        <w:rPr>
          <w:rFonts w:ascii="Cambria" w:hAnsi="Cambria"/>
        </w:rPr>
        <w:t>Cette étude, réalisée en partenariat avec l’INED (Institut national d’études démographiques), doit permettre d’appréhender les migrations des ménages et leurs implantations géographiques sur 2019/2020.</w:t>
      </w:r>
    </w:p>
    <w:p w14:paraId="2637DC56" w14:textId="77777777" w:rsidR="00BB17F3" w:rsidRPr="000C153E" w:rsidRDefault="00BB17F3" w:rsidP="00BB17F3">
      <w:pPr>
        <w:spacing w:before="120"/>
        <w:jc w:val="both"/>
        <w:rPr>
          <w:rFonts w:ascii="Cambria" w:hAnsi="Cambria"/>
        </w:rPr>
      </w:pPr>
      <w:r w:rsidRPr="000C153E">
        <w:rPr>
          <w:rFonts w:ascii="Cambria" w:hAnsi="Cambria"/>
        </w:rPr>
        <w:t xml:space="preserve">Pour rappel, l’INED est un organisme français de recherche, spécialisé dans les recherches en démographie et les études de population en général. Il a pour mission d’entreprendre, de développer ou d’encourager « tous travaux de recherche ayant pour objet l’étude des populations sous tous leurs aspects ». Il contribue également à « la formation à la recherche et par la recherche » et à l’information du public sur les questions de population. </w:t>
      </w:r>
    </w:p>
    <w:p w14:paraId="480C8BDC" w14:textId="77777777" w:rsidR="00BB17F3" w:rsidRPr="000C153E" w:rsidRDefault="00BB17F3" w:rsidP="00BB17F3">
      <w:pPr>
        <w:spacing w:before="120"/>
        <w:jc w:val="both"/>
        <w:rPr>
          <w:rFonts w:ascii="Cambria" w:hAnsi="Cambria"/>
        </w:rPr>
      </w:pPr>
      <w:r w:rsidRPr="000C153E">
        <w:rPr>
          <w:rFonts w:ascii="Cambria" w:hAnsi="Cambria"/>
        </w:rPr>
        <w:t>La concentration de services publics, notamment scolaires et de santé, peut avoir un rôle dans les déplacements de population et donc à terme sur l’espace résidentiel de la famille. Ces formes de parcours sont aussi en corrélation avec les âges. Ainsi, l’étude de ces déplacements permettra de mettre en exergue comment doivent se modeler les hébergements et les modes de vie spécifiques, dont la famille reste le principal moteur.</w:t>
      </w:r>
    </w:p>
    <w:p w14:paraId="245E4EBD" w14:textId="77777777" w:rsidR="00BB17F3" w:rsidRPr="000C153E" w:rsidRDefault="00BB17F3" w:rsidP="00BB17F3">
      <w:pPr>
        <w:spacing w:before="120"/>
        <w:jc w:val="both"/>
        <w:rPr>
          <w:rFonts w:ascii="Cambria" w:hAnsi="Cambria"/>
        </w:rPr>
      </w:pPr>
      <w:r w:rsidRPr="000C153E">
        <w:rPr>
          <w:rFonts w:ascii="Cambria" w:hAnsi="Cambria"/>
        </w:rPr>
        <w:t>Par ailleurs, la connaissance de l’organisation foncière permet de reconstituer les mobilités des familles ainsi que ses ancrages et éventuellement de futures destinations ou les possibilités de retour. L’évaluation de l’ancrage foncier des familles, que pourrait éclairer l’étude, constitue une information cruciale pour accompagner les politiques publiques d’aménagement.</w:t>
      </w:r>
    </w:p>
    <w:p w14:paraId="50FF7E01" w14:textId="77777777" w:rsidR="00BB17F3" w:rsidRPr="000C153E" w:rsidRDefault="00BB17F3" w:rsidP="00BB17F3">
      <w:pPr>
        <w:spacing w:before="120"/>
        <w:jc w:val="both"/>
        <w:rPr>
          <w:rFonts w:ascii="Cambria" w:hAnsi="Cambria"/>
        </w:rPr>
      </w:pPr>
      <w:r w:rsidRPr="000C153E">
        <w:rPr>
          <w:rFonts w:ascii="Cambria" w:hAnsi="Cambria"/>
        </w:rPr>
        <w:t>L’enquête permettra donc de dresser un tableau de la variété des organisations familiales non plus uniquement au sein d’une unité de logement, mais aussi dans une perspective de réseau et en tenant compte des caractéristiques géographiques du territoire insulaire.</w:t>
      </w:r>
    </w:p>
    <w:p w14:paraId="7491C1EE" w14:textId="77777777" w:rsidR="00BB17F3" w:rsidRPr="000C153E" w:rsidRDefault="00BB17F3" w:rsidP="00BB17F3">
      <w:pPr>
        <w:spacing w:before="120"/>
        <w:jc w:val="both"/>
        <w:rPr>
          <w:rFonts w:ascii="Cambria" w:hAnsi="Cambria"/>
        </w:rPr>
      </w:pPr>
      <w:r w:rsidRPr="000C153E">
        <w:rPr>
          <w:rFonts w:ascii="Cambria" w:hAnsi="Cambria"/>
        </w:rPr>
        <w:t>La collecte a démarré le 2 octobre 2019 dans l’archipel des îles du Vent puis s’est poursuivie aux Australes et aux Tuamotu depuis le 7 octobre 2019. Une deuxième vague aura lieu fin janvier. Cette étude est programmée pour une durée de 24 mois et mobilise une trentaine d’enquêteurs sur près de trente îles.</w:t>
      </w:r>
    </w:p>
    <w:p w14:paraId="16C9B1F0" w14:textId="77777777" w:rsidR="00BB17F3" w:rsidRPr="000C153E" w:rsidRDefault="00BB17F3" w:rsidP="00BB17F3">
      <w:pPr>
        <w:spacing w:before="120"/>
        <w:jc w:val="both"/>
        <w:rPr>
          <w:rFonts w:ascii="Cambria" w:hAnsi="Cambria"/>
        </w:rPr>
      </w:pPr>
      <w:r w:rsidRPr="000C153E">
        <w:rPr>
          <w:rFonts w:ascii="Cambria" w:hAnsi="Cambria"/>
        </w:rPr>
        <w:t>Le coût total de l’étude est estimé à 70 millions </w:t>
      </w:r>
      <w:proofErr w:type="spellStart"/>
      <w:r w:rsidRPr="000C153E">
        <w:rPr>
          <w:rFonts w:ascii="Cambria" w:hAnsi="Cambria"/>
        </w:rPr>
        <w:t>Fcfp</w:t>
      </w:r>
      <w:proofErr w:type="spellEnd"/>
      <w:r w:rsidRPr="000C153E">
        <w:rPr>
          <w:rFonts w:ascii="Cambria" w:hAnsi="Cambria"/>
        </w:rPr>
        <w:t xml:space="preserve"> HT, dont 35 millions </w:t>
      </w:r>
      <w:proofErr w:type="spellStart"/>
      <w:r w:rsidRPr="000C153E">
        <w:rPr>
          <w:rFonts w:ascii="Cambria" w:hAnsi="Cambria"/>
        </w:rPr>
        <w:t>Fcfp</w:t>
      </w:r>
      <w:proofErr w:type="spellEnd"/>
      <w:r w:rsidRPr="000C153E">
        <w:rPr>
          <w:rFonts w:ascii="Cambria" w:hAnsi="Cambria"/>
        </w:rPr>
        <w:t xml:space="preserve"> HT financés par l’Etat et 42 millions </w:t>
      </w:r>
      <w:proofErr w:type="spellStart"/>
      <w:r w:rsidRPr="000C153E">
        <w:rPr>
          <w:rFonts w:ascii="Cambria" w:hAnsi="Cambria"/>
        </w:rPr>
        <w:t>Fcfp</w:t>
      </w:r>
      <w:proofErr w:type="spellEnd"/>
      <w:r w:rsidRPr="000C153E">
        <w:rPr>
          <w:rFonts w:ascii="Cambria" w:hAnsi="Cambria"/>
        </w:rPr>
        <w:t xml:space="preserve"> TTC par le Pays (35 millions </w:t>
      </w:r>
      <w:proofErr w:type="spellStart"/>
      <w:r w:rsidRPr="000C153E">
        <w:rPr>
          <w:rFonts w:ascii="Cambria" w:hAnsi="Cambria"/>
        </w:rPr>
        <w:t>Fcfp</w:t>
      </w:r>
      <w:proofErr w:type="spellEnd"/>
      <w:r w:rsidRPr="000C153E">
        <w:rPr>
          <w:rFonts w:ascii="Cambria" w:hAnsi="Cambria"/>
        </w:rPr>
        <w:t xml:space="preserve"> HT et 7 millions </w:t>
      </w:r>
      <w:proofErr w:type="spellStart"/>
      <w:r w:rsidRPr="000C153E">
        <w:rPr>
          <w:rFonts w:ascii="Cambria" w:hAnsi="Cambria"/>
        </w:rPr>
        <w:t>Fcfp</w:t>
      </w:r>
      <w:proofErr w:type="spellEnd"/>
      <w:r w:rsidRPr="000C153E">
        <w:rPr>
          <w:rFonts w:ascii="Cambria" w:hAnsi="Cambria"/>
        </w:rPr>
        <w:t xml:space="preserve"> pour la TVA). Son financement s’effectue dans le cadre du Contrat de projets 2015-2020. </w:t>
      </w:r>
    </w:p>
    <w:p w14:paraId="2015A37F" w14:textId="77777777" w:rsidR="0031295B" w:rsidRDefault="0031295B" w:rsidP="009B7485">
      <w:pPr>
        <w:tabs>
          <w:tab w:val="left" w:pos="709"/>
        </w:tabs>
        <w:overflowPunct w:val="0"/>
        <w:autoSpaceDE w:val="0"/>
        <w:autoSpaceDN w:val="0"/>
        <w:adjustRightInd w:val="0"/>
        <w:spacing w:before="240"/>
        <w:jc w:val="both"/>
        <w:textAlignment w:val="baseline"/>
        <w:rPr>
          <w:rFonts w:ascii="Cambria" w:hAnsi="Cambria"/>
          <w:b/>
          <w:bCs/>
          <w:lang w:eastAsia="fr-FR"/>
        </w:rPr>
      </w:pPr>
    </w:p>
    <w:p w14:paraId="5F77307E" w14:textId="00503533" w:rsidR="009B7485" w:rsidRDefault="009B7485" w:rsidP="009B7485">
      <w:pPr>
        <w:tabs>
          <w:tab w:val="left" w:pos="709"/>
        </w:tabs>
        <w:overflowPunct w:val="0"/>
        <w:autoSpaceDE w:val="0"/>
        <w:autoSpaceDN w:val="0"/>
        <w:adjustRightInd w:val="0"/>
        <w:spacing w:before="240"/>
        <w:jc w:val="both"/>
        <w:textAlignment w:val="baseline"/>
        <w:rPr>
          <w:rFonts w:ascii="Cambria" w:hAnsi="Cambria"/>
          <w:b/>
          <w:bCs/>
          <w:lang w:eastAsia="fr-FR"/>
        </w:rPr>
      </w:pPr>
      <w:r w:rsidRPr="009B7485">
        <w:rPr>
          <w:rFonts w:ascii="Cambria" w:hAnsi="Cambria"/>
          <w:b/>
          <w:bCs/>
          <w:lang w:eastAsia="fr-FR"/>
        </w:rPr>
        <w:t>Modification de la règlementation en matière d’hébergement de tourisme en Polynésie française</w:t>
      </w:r>
    </w:p>
    <w:p w14:paraId="4BB20046" w14:textId="77777777" w:rsidR="00B658D9" w:rsidRPr="009B7485" w:rsidRDefault="00B658D9" w:rsidP="009B7485">
      <w:pPr>
        <w:tabs>
          <w:tab w:val="left" w:pos="709"/>
        </w:tabs>
        <w:overflowPunct w:val="0"/>
        <w:autoSpaceDE w:val="0"/>
        <w:autoSpaceDN w:val="0"/>
        <w:adjustRightInd w:val="0"/>
        <w:spacing w:before="240"/>
        <w:jc w:val="both"/>
        <w:textAlignment w:val="baseline"/>
        <w:rPr>
          <w:rFonts w:ascii="Cambria" w:hAnsi="Cambria"/>
          <w:b/>
          <w:bCs/>
          <w:lang w:eastAsia="fr-FR"/>
        </w:rPr>
      </w:pPr>
    </w:p>
    <w:p w14:paraId="7A8C3A38" w14:textId="3BBFE49C" w:rsidR="009B7485" w:rsidRPr="009B7485" w:rsidRDefault="009B7485" w:rsidP="009B7485">
      <w:pPr>
        <w:overflowPunct w:val="0"/>
        <w:autoSpaceDE w:val="0"/>
        <w:autoSpaceDN w:val="0"/>
        <w:adjustRightInd w:val="0"/>
        <w:spacing w:before="120"/>
        <w:jc w:val="both"/>
        <w:textAlignment w:val="baseline"/>
        <w:rPr>
          <w:rFonts w:ascii="Cambria" w:hAnsi="Cambria"/>
          <w:noProof/>
          <w:lang w:eastAsia="fr-FR"/>
        </w:rPr>
      </w:pPr>
      <w:r w:rsidRPr="009B7485">
        <w:rPr>
          <w:rFonts w:ascii="Cambria" w:hAnsi="Cambria"/>
          <w:noProof/>
          <w:lang w:eastAsia="fr-FR"/>
        </w:rPr>
        <w:t xml:space="preserve">Le Conseil des ministres a examiné </w:t>
      </w:r>
      <w:r w:rsidR="00B658D9">
        <w:rPr>
          <w:rFonts w:ascii="Cambria" w:hAnsi="Cambria"/>
          <w:noProof/>
          <w:lang w:eastAsia="fr-FR"/>
        </w:rPr>
        <w:t>un</w:t>
      </w:r>
      <w:r w:rsidRPr="009B7485">
        <w:rPr>
          <w:rFonts w:ascii="Cambria" w:hAnsi="Cambria"/>
          <w:noProof/>
          <w:lang w:eastAsia="fr-FR"/>
        </w:rPr>
        <w:t xml:space="preserve"> projet de</w:t>
      </w:r>
      <w:r w:rsidR="00B658D9">
        <w:rPr>
          <w:rFonts w:ascii="Cambria" w:hAnsi="Cambria"/>
          <w:noProof/>
          <w:lang w:eastAsia="fr-FR"/>
        </w:rPr>
        <w:t xml:space="preserve"> loi du Pays modifiant la loi du P</w:t>
      </w:r>
      <w:r w:rsidRPr="009B7485">
        <w:rPr>
          <w:rFonts w:ascii="Cambria" w:hAnsi="Cambria"/>
          <w:noProof/>
          <w:lang w:eastAsia="fr-FR"/>
        </w:rPr>
        <w:t>ays du 29 mars 2018 qui réglemente l’hébergement touristique en Polynésie française.</w:t>
      </w:r>
    </w:p>
    <w:p w14:paraId="70A27E7C" w14:textId="18DCDF3A" w:rsidR="009B7485" w:rsidRPr="009B7485" w:rsidRDefault="00B658D9" w:rsidP="009B7485">
      <w:pPr>
        <w:overflowPunct w:val="0"/>
        <w:autoSpaceDE w:val="0"/>
        <w:autoSpaceDN w:val="0"/>
        <w:adjustRightInd w:val="0"/>
        <w:spacing w:before="120"/>
        <w:jc w:val="both"/>
        <w:textAlignment w:val="baseline"/>
        <w:rPr>
          <w:rFonts w:ascii="Cambria" w:hAnsi="Cambria"/>
          <w:noProof/>
          <w:lang w:eastAsia="fr-FR"/>
        </w:rPr>
      </w:pPr>
      <w:r>
        <w:rPr>
          <w:rFonts w:ascii="Cambria" w:hAnsi="Cambria"/>
          <w:noProof/>
          <w:lang w:eastAsia="fr-FR"/>
        </w:rPr>
        <w:lastRenderedPageBreak/>
        <w:t xml:space="preserve">Ce </w:t>
      </w:r>
      <w:r w:rsidRPr="009B7485">
        <w:rPr>
          <w:rFonts w:ascii="Cambria" w:hAnsi="Cambria"/>
          <w:noProof/>
          <w:lang w:eastAsia="fr-FR"/>
        </w:rPr>
        <w:t>projet de</w:t>
      </w:r>
      <w:r>
        <w:rPr>
          <w:rFonts w:ascii="Cambria" w:hAnsi="Cambria"/>
          <w:noProof/>
          <w:lang w:eastAsia="fr-FR"/>
        </w:rPr>
        <w:t xml:space="preserve"> loi du Pays</w:t>
      </w:r>
      <w:r w:rsidR="009B7485" w:rsidRPr="009B7485">
        <w:rPr>
          <w:rFonts w:ascii="Cambria" w:hAnsi="Cambria"/>
          <w:noProof/>
          <w:lang w:eastAsia="fr-FR"/>
        </w:rPr>
        <w:t xml:space="preserve"> vient compléter </w:t>
      </w:r>
      <w:r>
        <w:rPr>
          <w:rFonts w:ascii="Cambria" w:hAnsi="Cambria"/>
          <w:noProof/>
          <w:lang w:eastAsia="fr-FR"/>
        </w:rPr>
        <w:t>la</w:t>
      </w:r>
      <w:r w:rsidR="009B7485" w:rsidRPr="009B7485">
        <w:rPr>
          <w:rFonts w:ascii="Cambria" w:hAnsi="Cambria"/>
          <w:noProof/>
          <w:lang w:eastAsia="fr-FR"/>
        </w:rPr>
        <w:t xml:space="preserve"> règlementation </w:t>
      </w:r>
      <w:r>
        <w:rPr>
          <w:rFonts w:ascii="Cambria" w:hAnsi="Cambria"/>
          <w:noProof/>
          <w:lang w:eastAsia="fr-FR"/>
        </w:rPr>
        <w:t xml:space="preserve">en la matière </w:t>
      </w:r>
      <w:r w:rsidR="009B7485" w:rsidRPr="009B7485">
        <w:rPr>
          <w:rFonts w:ascii="Cambria" w:hAnsi="Cambria"/>
          <w:noProof/>
          <w:lang w:eastAsia="fr-FR"/>
        </w:rPr>
        <w:t xml:space="preserve">en introduisant principalement des dispositions permettant de mieux encadrer l’activité de meublés de tourisme et en modifiant d’autres points de cette règlementation. </w:t>
      </w:r>
    </w:p>
    <w:p w14:paraId="24DB5CE6" w14:textId="77777777" w:rsidR="009B7485" w:rsidRPr="009B7485" w:rsidRDefault="009B7485" w:rsidP="009B7485">
      <w:pPr>
        <w:overflowPunct w:val="0"/>
        <w:autoSpaceDE w:val="0"/>
        <w:autoSpaceDN w:val="0"/>
        <w:adjustRightInd w:val="0"/>
        <w:spacing w:before="120"/>
        <w:jc w:val="both"/>
        <w:textAlignment w:val="baseline"/>
        <w:rPr>
          <w:rFonts w:ascii="Cambria" w:hAnsi="Cambria"/>
          <w:noProof/>
          <w:lang w:eastAsia="fr-FR"/>
        </w:rPr>
      </w:pPr>
      <w:r w:rsidRPr="009B7485">
        <w:rPr>
          <w:rFonts w:ascii="Cambria" w:hAnsi="Cambria"/>
          <w:noProof/>
          <w:lang w:eastAsia="fr-FR"/>
        </w:rPr>
        <w:t>Il s’agit notemment de renforcer l’encadrement de l’activité de meublés de tourisme en renforçant les exigences tenant à la double déclaration obligatoire au service du tourisme et auprès du maire de la commune où se situe le meublé.</w:t>
      </w:r>
    </w:p>
    <w:p w14:paraId="0E87B528" w14:textId="171D8867" w:rsidR="009B7485" w:rsidRPr="009B7485" w:rsidRDefault="009B7485" w:rsidP="009B7485">
      <w:pPr>
        <w:suppressAutoHyphens/>
        <w:spacing w:before="120"/>
        <w:jc w:val="both"/>
        <w:rPr>
          <w:rFonts w:ascii="Cambria" w:hAnsi="Cambria"/>
          <w:lang w:eastAsia="fr-FR"/>
        </w:rPr>
      </w:pPr>
      <w:r w:rsidRPr="009B7485">
        <w:rPr>
          <w:rFonts w:ascii="Cambria" w:hAnsi="Cambria"/>
          <w:lang w:eastAsia="fr-FR"/>
        </w:rPr>
        <w:t>En pre</w:t>
      </w:r>
      <w:r w:rsidR="00B658D9">
        <w:rPr>
          <w:rFonts w:ascii="Cambria" w:hAnsi="Cambria"/>
          <w:lang w:eastAsia="fr-FR"/>
        </w:rPr>
        <w:t>mier lieu, ce projet de loi du P</w:t>
      </w:r>
      <w:r w:rsidRPr="009B7485">
        <w:rPr>
          <w:rFonts w:ascii="Cambria" w:hAnsi="Cambria"/>
          <w:lang w:eastAsia="fr-FR"/>
        </w:rPr>
        <w:t>ays précise les obligations des personnes proposant des meublés de tourisme à la location et clarifie la définition de ces meublés.</w:t>
      </w:r>
    </w:p>
    <w:p w14:paraId="073D6B98" w14:textId="0F7828EF" w:rsidR="009B7485" w:rsidRPr="009B7485" w:rsidRDefault="00B658D9" w:rsidP="009B7485">
      <w:pPr>
        <w:spacing w:before="120"/>
        <w:jc w:val="both"/>
        <w:rPr>
          <w:rFonts w:ascii="Cambria" w:hAnsi="Cambria"/>
          <w:lang w:eastAsia="fr-FR"/>
        </w:rPr>
      </w:pPr>
      <w:r>
        <w:rPr>
          <w:rFonts w:ascii="Cambria" w:hAnsi="Cambria"/>
          <w:lang w:eastAsia="fr-FR"/>
        </w:rPr>
        <w:t>D</w:t>
      </w:r>
      <w:r w:rsidR="009B7485" w:rsidRPr="009B7485">
        <w:rPr>
          <w:rFonts w:ascii="Cambria" w:hAnsi="Cambria"/>
          <w:lang w:eastAsia="fr-FR"/>
        </w:rPr>
        <w:t>e nouvelles obligations sont instituées pour les intermédiaires qui prennent part à l’activité de location de meublés de tourisme, notamment les plateformes numériques de type « </w:t>
      </w:r>
      <w:proofErr w:type="spellStart"/>
      <w:r w:rsidR="009B7485" w:rsidRPr="009B7485">
        <w:rPr>
          <w:rFonts w:ascii="Cambria" w:hAnsi="Cambria"/>
          <w:i/>
          <w:iCs/>
          <w:lang w:eastAsia="fr-FR"/>
        </w:rPr>
        <w:t>Airbnb</w:t>
      </w:r>
      <w:proofErr w:type="spellEnd"/>
      <w:r w:rsidR="009B7485" w:rsidRPr="009B7485">
        <w:rPr>
          <w:rFonts w:ascii="Cambria" w:hAnsi="Cambria"/>
          <w:lang w:eastAsia="fr-FR"/>
        </w:rPr>
        <w:t> ».</w:t>
      </w:r>
    </w:p>
    <w:p w14:paraId="5A555233" w14:textId="79638E5B" w:rsidR="009B7485" w:rsidRPr="009B7485" w:rsidRDefault="00B658D9" w:rsidP="009B7485">
      <w:pPr>
        <w:spacing w:before="120"/>
        <w:jc w:val="both"/>
        <w:rPr>
          <w:rFonts w:ascii="Cambria" w:hAnsi="Cambria"/>
          <w:lang w:eastAsia="fr-FR"/>
        </w:rPr>
      </w:pPr>
      <w:r>
        <w:rPr>
          <w:rFonts w:ascii="Cambria" w:hAnsi="Cambria"/>
          <w:lang w:eastAsia="fr-FR"/>
        </w:rPr>
        <w:t>Les</w:t>
      </w:r>
      <w:r w:rsidR="009B7485" w:rsidRPr="009B7485">
        <w:rPr>
          <w:rFonts w:ascii="Cambria" w:hAnsi="Cambria"/>
          <w:lang w:eastAsia="fr-FR"/>
        </w:rPr>
        <w:t xml:space="preserve"> exigences en matière d’occupation des logements sont </w:t>
      </w:r>
      <w:r>
        <w:rPr>
          <w:rFonts w:ascii="Cambria" w:hAnsi="Cambria"/>
          <w:lang w:eastAsia="fr-FR"/>
        </w:rPr>
        <w:t xml:space="preserve">également </w:t>
      </w:r>
      <w:r w:rsidR="009B7485" w:rsidRPr="009B7485">
        <w:rPr>
          <w:rFonts w:ascii="Cambria" w:hAnsi="Cambria"/>
          <w:lang w:eastAsia="fr-FR"/>
        </w:rPr>
        <w:t>renforcées. Afin d’assurer la sécurité et la qualité de l’accueil des touristes mais aussi la tranquillité du voisinage, le projet de texte précise la définition des meublés de tourisme.</w:t>
      </w:r>
    </w:p>
    <w:p w14:paraId="163F6045" w14:textId="26CBCA20" w:rsidR="009B7485" w:rsidRPr="009B7485" w:rsidRDefault="009B7485" w:rsidP="009B7485">
      <w:pPr>
        <w:spacing w:before="120"/>
        <w:jc w:val="both"/>
        <w:rPr>
          <w:rFonts w:ascii="Cambria" w:hAnsi="Cambria"/>
          <w:lang w:eastAsia="fr-FR"/>
        </w:rPr>
      </w:pPr>
      <w:r w:rsidRPr="009B7485">
        <w:rPr>
          <w:rFonts w:ascii="Cambria" w:hAnsi="Cambria"/>
          <w:lang w:eastAsia="fr-FR"/>
        </w:rPr>
        <w:t>En</w:t>
      </w:r>
      <w:r w:rsidR="00B658D9">
        <w:rPr>
          <w:rFonts w:ascii="Cambria" w:hAnsi="Cambria"/>
          <w:lang w:eastAsia="fr-FR"/>
        </w:rPr>
        <w:t>fin</w:t>
      </w:r>
      <w:r w:rsidRPr="009B7485">
        <w:rPr>
          <w:rFonts w:ascii="Cambria" w:hAnsi="Cambria"/>
          <w:lang w:eastAsia="fr-FR"/>
        </w:rPr>
        <w:t>, des sanctions administratives sont établies.</w:t>
      </w:r>
    </w:p>
    <w:p w14:paraId="185D0691" w14:textId="033462F2" w:rsidR="009B7485" w:rsidRPr="009B7485" w:rsidRDefault="009B7485" w:rsidP="009B7485">
      <w:pPr>
        <w:overflowPunct w:val="0"/>
        <w:autoSpaceDE w:val="0"/>
        <w:autoSpaceDN w:val="0"/>
        <w:adjustRightInd w:val="0"/>
        <w:spacing w:before="120"/>
        <w:jc w:val="both"/>
        <w:textAlignment w:val="baseline"/>
        <w:rPr>
          <w:rFonts w:ascii="Cambria" w:hAnsi="Cambria"/>
          <w:noProof/>
          <w:lang w:eastAsia="fr-FR"/>
        </w:rPr>
      </w:pPr>
      <w:r w:rsidRPr="009B7485">
        <w:rPr>
          <w:rFonts w:ascii="Cambria" w:hAnsi="Cambria"/>
          <w:noProof/>
          <w:lang w:eastAsia="fr-FR"/>
        </w:rPr>
        <w:t>Lors de sa séance en date du 10 novembre</w:t>
      </w:r>
      <w:r w:rsidR="00B658D9">
        <w:rPr>
          <w:rFonts w:ascii="Cambria" w:hAnsi="Cambria"/>
          <w:noProof/>
          <w:lang w:eastAsia="fr-FR"/>
        </w:rPr>
        <w:t xml:space="preserve"> dernier</w:t>
      </w:r>
      <w:r w:rsidRPr="009B7485">
        <w:rPr>
          <w:rFonts w:ascii="Cambria" w:hAnsi="Cambria"/>
          <w:noProof/>
          <w:lang w:eastAsia="fr-FR"/>
        </w:rPr>
        <w:t>, le Conseil Economique, Social, Environnemental et Culturel a donné un avis favorable</w:t>
      </w:r>
      <w:r w:rsidR="00B658D9">
        <w:rPr>
          <w:rFonts w:ascii="Cambria" w:hAnsi="Cambria"/>
          <w:noProof/>
          <w:lang w:eastAsia="fr-FR"/>
        </w:rPr>
        <w:t>,</w:t>
      </w:r>
      <w:r w:rsidRPr="009B7485">
        <w:rPr>
          <w:rFonts w:ascii="Cambria" w:hAnsi="Cambria"/>
          <w:noProof/>
          <w:lang w:eastAsia="fr-FR"/>
        </w:rPr>
        <w:t xml:space="preserve"> quasiment à l’unanimité (39 voix pour et une abstention) à ce projet de loi du Pays avec un certain nombre de recomm</w:t>
      </w:r>
      <w:r w:rsidR="00B658D9">
        <w:rPr>
          <w:rFonts w:ascii="Cambria" w:hAnsi="Cambria"/>
          <w:noProof/>
          <w:lang w:eastAsia="fr-FR"/>
        </w:rPr>
        <w:t>a</w:t>
      </w:r>
      <w:r w:rsidRPr="009B7485">
        <w:rPr>
          <w:rFonts w:ascii="Cambria" w:hAnsi="Cambria"/>
          <w:noProof/>
          <w:lang w:eastAsia="fr-FR"/>
        </w:rPr>
        <w:t>ndation</w:t>
      </w:r>
      <w:r w:rsidR="00B658D9">
        <w:rPr>
          <w:rFonts w:ascii="Cambria" w:hAnsi="Cambria"/>
          <w:noProof/>
          <w:lang w:eastAsia="fr-FR"/>
        </w:rPr>
        <w:t>s</w:t>
      </w:r>
      <w:r w:rsidRPr="009B7485">
        <w:rPr>
          <w:rFonts w:ascii="Cambria" w:hAnsi="Cambria"/>
          <w:noProof/>
          <w:lang w:eastAsia="fr-FR"/>
        </w:rPr>
        <w:t xml:space="preserve">. </w:t>
      </w:r>
    </w:p>
    <w:p w14:paraId="43D1B7CD" w14:textId="77777777" w:rsidR="009B7485" w:rsidRPr="009B7485" w:rsidRDefault="009B7485" w:rsidP="009B7485">
      <w:pPr>
        <w:overflowPunct w:val="0"/>
        <w:autoSpaceDE w:val="0"/>
        <w:autoSpaceDN w:val="0"/>
        <w:adjustRightInd w:val="0"/>
        <w:spacing w:before="120"/>
        <w:jc w:val="both"/>
        <w:textAlignment w:val="baseline"/>
        <w:rPr>
          <w:rFonts w:ascii="Cambria" w:hAnsi="Cambria"/>
          <w:noProof/>
          <w:lang w:eastAsia="fr-FR"/>
        </w:rPr>
      </w:pPr>
      <w:r w:rsidRPr="009B7485">
        <w:rPr>
          <w:rFonts w:ascii="Cambria" w:hAnsi="Cambria"/>
          <w:noProof/>
          <w:lang w:eastAsia="fr-FR"/>
        </w:rPr>
        <w:t>Des ajustements ont été ainsi réalisés, notamment la révision du montant de l’amende relative à la non déclaration de l’activité passant de 50 000 Fcfp à 300 000 Fcfp.</w:t>
      </w:r>
    </w:p>
    <w:p w14:paraId="5F85061E" w14:textId="0F32B932" w:rsidR="009B7485" w:rsidRPr="009B7485" w:rsidRDefault="00B658D9" w:rsidP="009B7485">
      <w:pPr>
        <w:overflowPunct w:val="0"/>
        <w:autoSpaceDE w:val="0"/>
        <w:autoSpaceDN w:val="0"/>
        <w:adjustRightInd w:val="0"/>
        <w:spacing w:before="120"/>
        <w:jc w:val="both"/>
        <w:textAlignment w:val="baseline"/>
        <w:rPr>
          <w:rFonts w:ascii="Cambria" w:hAnsi="Cambria"/>
          <w:noProof/>
          <w:lang w:eastAsia="fr-FR"/>
        </w:rPr>
      </w:pPr>
      <w:r>
        <w:rPr>
          <w:rFonts w:ascii="Cambria" w:hAnsi="Cambria"/>
          <w:noProof/>
          <w:lang w:eastAsia="fr-FR"/>
        </w:rPr>
        <w:t>Ce projet de loi du P</w:t>
      </w:r>
      <w:r w:rsidR="009B7485" w:rsidRPr="009B7485">
        <w:rPr>
          <w:rFonts w:ascii="Cambria" w:hAnsi="Cambria"/>
          <w:noProof/>
          <w:lang w:eastAsia="fr-FR"/>
        </w:rPr>
        <w:t>ays sera soumis prochainement à l’examen de l’Assemblée de la Polynésie Française.</w:t>
      </w:r>
    </w:p>
    <w:p w14:paraId="0D489427" w14:textId="55A23A94" w:rsidR="009B7485" w:rsidRDefault="009B7485" w:rsidP="009B7485">
      <w:pPr>
        <w:overflowPunct w:val="0"/>
        <w:autoSpaceDE w:val="0"/>
        <w:autoSpaceDN w:val="0"/>
        <w:adjustRightInd w:val="0"/>
        <w:spacing w:before="120"/>
        <w:jc w:val="both"/>
        <w:textAlignment w:val="baseline"/>
        <w:rPr>
          <w:rFonts w:ascii="Cambria" w:hAnsi="Cambria"/>
          <w:iCs/>
          <w:noProof/>
          <w:lang w:eastAsia="fr-FR"/>
        </w:rPr>
      </w:pPr>
    </w:p>
    <w:p w14:paraId="4BAE2179" w14:textId="77777777" w:rsidR="009B7485" w:rsidRPr="009B7485" w:rsidRDefault="009B7485" w:rsidP="009B7485">
      <w:pPr>
        <w:overflowPunct w:val="0"/>
        <w:autoSpaceDE w:val="0"/>
        <w:autoSpaceDN w:val="0"/>
        <w:adjustRightInd w:val="0"/>
        <w:spacing w:before="120"/>
        <w:jc w:val="both"/>
        <w:textAlignment w:val="baseline"/>
        <w:rPr>
          <w:rFonts w:ascii="Cambria" w:hAnsi="Cambria"/>
          <w:iCs/>
          <w:noProof/>
          <w:lang w:eastAsia="fr-FR"/>
        </w:rPr>
      </w:pPr>
    </w:p>
    <w:p w14:paraId="34685B2F" w14:textId="72797728" w:rsidR="009B7485" w:rsidRDefault="00B658D9" w:rsidP="009B7485">
      <w:pPr>
        <w:overflowPunct w:val="0"/>
        <w:autoSpaceDE w:val="0"/>
        <w:autoSpaceDN w:val="0"/>
        <w:adjustRightInd w:val="0"/>
        <w:spacing w:before="120"/>
        <w:jc w:val="both"/>
        <w:textAlignment w:val="baseline"/>
        <w:rPr>
          <w:rFonts w:ascii="Cambria" w:hAnsi="Cambria"/>
          <w:b/>
          <w:bCs/>
          <w:iCs/>
          <w:noProof/>
          <w:szCs w:val="20"/>
          <w:lang w:eastAsia="fr-FR"/>
        </w:rPr>
      </w:pPr>
      <w:r>
        <w:rPr>
          <w:rFonts w:ascii="Cambria" w:hAnsi="Cambria"/>
          <w:b/>
          <w:bCs/>
          <w:iCs/>
          <w:noProof/>
          <w:szCs w:val="20"/>
          <w:lang w:eastAsia="fr-FR"/>
        </w:rPr>
        <w:t>Classes</w:t>
      </w:r>
      <w:r w:rsidR="001A6BFD">
        <w:rPr>
          <w:rFonts w:ascii="Cambria" w:hAnsi="Cambria"/>
          <w:b/>
          <w:bCs/>
          <w:iCs/>
          <w:noProof/>
          <w:szCs w:val="20"/>
          <w:lang w:eastAsia="fr-FR"/>
        </w:rPr>
        <w:t xml:space="preserve"> de 3</w:t>
      </w:r>
      <w:r w:rsidR="001A6BFD" w:rsidRPr="001A6BFD">
        <w:rPr>
          <w:rFonts w:ascii="Cambria" w:hAnsi="Cambria"/>
          <w:b/>
          <w:bCs/>
          <w:iCs/>
          <w:noProof/>
          <w:szCs w:val="20"/>
          <w:vertAlign w:val="superscript"/>
          <w:lang w:eastAsia="fr-FR"/>
        </w:rPr>
        <w:t>ème</w:t>
      </w:r>
      <w:r w:rsidR="001A6BFD">
        <w:rPr>
          <w:rFonts w:ascii="Cambria" w:hAnsi="Cambria"/>
          <w:b/>
          <w:bCs/>
          <w:iCs/>
          <w:noProof/>
          <w:szCs w:val="20"/>
          <w:lang w:eastAsia="fr-FR"/>
        </w:rPr>
        <w:t xml:space="preserve"> tourisme éco-culturel: s</w:t>
      </w:r>
      <w:r w:rsidR="009B7485" w:rsidRPr="009B7485">
        <w:rPr>
          <w:rFonts w:ascii="Cambria" w:hAnsi="Cambria"/>
          <w:b/>
          <w:bCs/>
          <w:iCs/>
          <w:noProof/>
          <w:szCs w:val="20"/>
          <w:lang w:eastAsia="fr-FR"/>
        </w:rPr>
        <w:t>ubvention de fonctionnement en faveur du foyer socio-éducatif du collège de Taravao</w:t>
      </w:r>
    </w:p>
    <w:p w14:paraId="27F769DB" w14:textId="77777777" w:rsidR="00B658D9" w:rsidRPr="009B7485" w:rsidRDefault="00B658D9" w:rsidP="009B7485">
      <w:pPr>
        <w:overflowPunct w:val="0"/>
        <w:autoSpaceDE w:val="0"/>
        <w:autoSpaceDN w:val="0"/>
        <w:adjustRightInd w:val="0"/>
        <w:spacing w:before="120"/>
        <w:jc w:val="both"/>
        <w:textAlignment w:val="baseline"/>
        <w:rPr>
          <w:rFonts w:ascii="Cambria" w:hAnsi="Cambria"/>
          <w:b/>
          <w:bCs/>
          <w:iCs/>
          <w:noProof/>
          <w:szCs w:val="20"/>
          <w:lang w:eastAsia="fr-FR"/>
        </w:rPr>
      </w:pPr>
    </w:p>
    <w:p w14:paraId="227EEAB3" w14:textId="7A8F18C4" w:rsidR="009B7485" w:rsidRPr="009B7485" w:rsidRDefault="009B7485" w:rsidP="009B7485">
      <w:pPr>
        <w:overflowPunct w:val="0"/>
        <w:autoSpaceDE w:val="0"/>
        <w:autoSpaceDN w:val="0"/>
        <w:adjustRightInd w:val="0"/>
        <w:spacing w:before="120"/>
        <w:jc w:val="both"/>
        <w:textAlignment w:val="baseline"/>
        <w:rPr>
          <w:rFonts w:ascii="Cambria" w:hAnsi="Cambria"/>
          <w:iCs/>
          <w:noProof/>
          <w:szCs w:val="20"/>
          <w:lang w:eastAsia="fr-FR"/>
        </w:rPr>
      </w:pPr>
      <w:r w:rsidRPr="009B7485">
        <w:rPr>
          <w:rFonts w:ascii="Cambria" w:hAnsi="Cambria"/>
          <w:iCs/>
          <w:noProof/>
          <w:szCs w:val="20"/>
          <w:lang w:eastAsia="fr-FR"/>
        </w:rPr>
        <w:t xml:space="preserve">Le Conseil des ministres a octroyé une subvention de fonctionnement en faveur du foyer socio-éducatif (FSE) du collège de Taravao, d’un montant de </w:t>
      </w:r>
      <w:r w:rsidR="00B658D9">
        <w:rPr>
          <w:rFonts w:ascii="Cambria" w:hAnsi="Cambria"/>
          <w:iCs/>
          <w:noProof/>
          <w:szCs w:val="20"/>
          <w:lang w:eastAsia="fr-FR"/>
        </w:rPr>
        <w:t>990 000 Fcfp</w:t>
      </w:r>
      <w:r w:rsidRPr="009B7485">
        <w:rPr>
          <w:rFonts w:ascii="Cambria" w:hAnsi="Cambria"/>
          <w:iCs/>
          <w:noProof/>
          <w:szCs w:val="20"/>
          <w:lang w:eastAsia="fr-FR"/>
        </w:rPr>
        <w:t xml:space="preserve"> afin de couvrir l’ensemble des charges relatives à l’achats de matériels et de matières premières servants aux ateliers pédagogiques, aux prestations extérieures ainsi qu’aux frais de transport vers les différents sites. </w:t>
      </w:r>
    </w:p>
    <w:p w14:paraId="1D6A4662" w14:textId="7B9CD992" w:rsidR="009B7485" w:rsidRPr="009B7485" w:rsidRDefault="009B7485" w:rsidP="009B7485">
      <w:pPr>
        <w:overflowPunct w:val="0"/>
        <w:autoSpaceDE w:val="0"/>
        <w:autoSpaceDN w:val="0"/>
        <w:adjustRightInd w:val="0"/>
        <w:spacing w:before="120"/>
        <w:jc w:val="both"/>
        <w:textAlignment w:val="baseline"/>
        <w:rPr>
          <w:rFonts w:ascii="Cambria" w:hAnsi="Cambria"/>
          <w:iCs/>
          <w:noProof/>
          <w:szCs w:val="20"/>
          <w:lang w:eastAsia="fr-FR"/>
        </w:rPr>
      </w:pPr>
      <w:r w:rsidRPr="009B7485">
        <w:rPr>
          <w:rFonts w:ascii="Cambria" w:hAnsi="Cambria"/>
          <w:iCs/>
          <w:noProof/>
          <w:szCs w:val="20"/>
          <w:lang w:eastAsia="fr-FR"/>
        </w:rPr>
        <w:t xml:space="preserve">Sous l’initiative de deux de ses enseignantes en anglais, le collège de Taravao a </w:t>
      </w:r>
      <w:r w:rsidR="00B658D9">
        <w:rPr>
          <w:rFonts w:ascii="Cambria" w:hAnsi="Cambria"/>
          <w:iCs/>
          <w:noProof/>
          <w:szCs w:val="20"/>
          <w:lang w:eastAsia="fr-FR"/>
        </w:rPr>
        <w:t xml:space="preserve">en effet </w:t>
      </w:r>
      <w:r w:rsidRPr="009B7485">
        <w:rPr>
          <w:rFonts w:ascii="Cambria" w:hAnsi="Cambria"/>
          <w:iCs/>
          <w:noProof/>
          <w:szCs w:val="20"/>
          <w:lang w:eastAsia="fr-FR"/>
        </w:rPr>
        <w:t>pour projet de me</w:t>
      </w:r>
      <w:r w:rsidR="00B658D9">
        <w:rPr>
          <w:rFonts w:ascii="Cambria" w:hAnsi="Cambria"/>
          <w:iCs/>
          <w:noProof/>
          <w:szCs w:val="20"/>
          <w:lang w:eastAsia="fr-FR"/>
        </w:rPr>
        <w:t>ttre en place deux classes de 3</w:t>
      </w:r>
      <w:r w:rsidRPr="009B7485">
        <w:rPr>
          <w:rFonts w:ascii="Cambria" w:hAnsi="Cambria"/>
          <w:iCs/>
          <w:noProof/>
          <w:szCs w:val="20"/>
          <w:lang w:eastAsia="fr-FR"/>
        </w:rPr>
        <w:t xml:space="preserve">ème tourisme éco-culturel afin de sensibiliser </w:t>
      </w:r>
      <w:r w:rsidR="00B658D9">
        <w:rPr>
          <w:rFonts w:ascii="Cambria" w:hAnsi="Cambria"/>
          <w:iCs/>
          <w:noProof/>
          <w:szCs w:val="20"/>
          <w:lang w:eastAsia="fr-FR"/>
        </w:rPr>
        <w:t>l</w:t>
      </w:r>
      <w:r w:rsidRPr="009B7485">
        <w:rPr>
          <w:rFonts w:ascii="Cambria" w:hAnsi="Cambria"/>
          <w:iCs/>
          <w:noProof/>
          <w:szCs w:val="20"/>
          <w:lang w:eastAsia="fr-FR"/>
        </w:rPr>
        <w:t>es élèves aux métiers du tourisme ainsi qu’aux lieux et paysages authentiques, naturels et culturels de la presqu’île de Tahiti. Dans le cadre de ce projet, un programme d’activités pédagogiques a été planifié sur quatre années dont l’objectif final est de faire rayonner les atouts touristiques, culturels et écologiques de la presqu’île au travers des travaux des élèves, lors</w:t>
      </w:r>
      <w:r w:rsidR="00B658D9">
        <w:rPr>
          <w:rFonts w:ascii="Cambria" w:hAnsi="Cambria"/>
          <w:iCs/>
          <w:noProof/>
          <w:szCs w:val="20"/>
          <w:lang w:eastAsia="fr-FR"/>
        </w:rPr>
        <w:t xml:space="preserve"> de la compétition de surf des Jeux O</w:t>
      </w:r>
      <w:r w:rsidRPr="009B7485">
        <w:rPr>
          <w:rFonts w:ascii="Cambria" w:hAnsi="Cambria"/>
          <w:iCs/>
          <w:noProof/>
          <w:szCs w:val="20"/>
          <w:lang w:eastAsia="fr-FR"/>
        </w:rPr>
        <w:t xml:space="preserve">lympiques de 2024. Le FSE du collège de Taravao a ainsi décidé d’apporter un support et une aide logistique à la concrétisation de ce projet pédagogique. Pour cette année scolaire 2020-2021, un itinéraire touristique sous forme de visite de sites et d’ateliers pédagogiques </w:t>
      </w:r>
      <w:r w:rsidRPr="009B7485">
        <w:rPr>
          <w:rFonts w:ascii="Cambria" w:hAnsi="Cambria"/>
          <w:iCs/>
          <w:noProof/>
          <w:szCs w:val="20"/>
          <w:lang w:eastAsia="fr-FR"/>
        </w:rPr>
        <w:lastRenderedPageBreak/>
        <w:t>sera mis en place dans la commune de Taiarapu-ouest selon deux thématiques:</w:t>
      </w:r>
      <w:r w:rsidR="001A6BFD">
        <w:rPr>
          <w:rFonts w:ascii="Cambria" w:hAnsi="Cambria"/>
          <w:iCs/>
          <w:noProof/>
          <w:szCs w:val="20"/>
          <w:lang w:eastAsia="fr-FR"/>
        </w:rPr>
        <w:t xml:space="preserve"> « s</w:t>
      </w:r>
      <w:r w:rsidRPr="009B7485">
        <w:rPr>
          <w:rFonts w:ascii="Cambria" w:hAnsi="Cambria"/>
          <w:iCs/>
          <w:noProof/>
          <w:szCs w:val="20"/>
          <w:lang w:eastAsia="fr-FR"/>
        </w:rPr>
        <w:t>ur les traces de Maui à Toahotu-Vairao : la plage de Maui « Tapua’e Maui », la grotte de Maui « faana », la passe « tapuaeraha »</w:t>
      </w:r>
      <w:r w:rsidR="001A6BFD">
        <w:rPr>
          <w:rFonts w:ascii="Cambria" w:hAnsi="Cambria"/>
          <w:iCs/>
          <w:noProof/>
          <w:szCs w:val="20"/>
          <w:lang w:eastAsia="fr-FR"/>
        </w:rPr>
        <w:t xml:space="preserve"> et, « </w:t>
      </w:r>
      <w:r w:rsidRPr="009B7485">
        <w:rPr>
          <w:rFonts w:ascii="Cambria" w:hAnsi="Cambria"/>
          <w:iCs/>
          <w:noProof/>
          <w:szCs w:val="20"/>
          <w:lang w:eastAsia="fr-FR"/>
        </w:rPr>
        <w:t>La vague de Teahupoo : le « horue » aux origines du surf</w:t>
      </w:r>
      <w:r w:rsidR="001A6BFD">
        <w:rPr>
          <w:rFonts w:ascii="Cambria" w:hAnsi="Cambria"/>
          <w:iCs/>
          <w:noProof/>
          <w:szCs w:val="20"/>
          <w:lang w:eastAsia="fr-FR"/>
        </w:rPr>
        <w:t xml:space="preserve"> </w:t>
      </w:r>
      <w:r w:rsidR="001A6BFD" w:rsidRPr="009B7485">
        <w:rPr>
          <w:rFonts w:ascii="Cambria" w:hAnsi="Cambria"/>
          <w:iCs/>
          <w:noProof/>
          <w:szCs w:val="20"/>
          <w:lang w:eastAsia="fr-FR"/>
        </w:rPr>
        <w:t>»</w:t>
      </w:r>
      <w:r w:rsidR="001A6BFD">
        <w:rPr>
          <w:rFonts w:ascii="Cambria" w:hAnsi="Cambria"/>
          <w:iCs/>
          <w:noProof/>
          <w:szCs w:val="20"/>
          <w:lang w:eastAsia="fr-FR"/>
        </w:rPr>
        <w:t>.</w:t>
      </w:r>
    </w:p>
    <w:p w14:paraId="4E7A4AED" w14:textId="646C66E3" w:rsidR="009B7485" w:rsidRPr="009B7485" w:rsidRDefault="009B7485" w:rsidP="009B7485">
      <w:pPr>
        <w:overflowPunct w:val="0"/>
        <w:autoSpaceDE w:val="0"/>
        <w:autoSpaceDN w:val="0"/>
        <w:adjustRightInd w:val="0"/>
        <w:spacing w:before="120"/>
        <w:jc w:val="both"/>
        <w:textAlignment w:val="baseline"/>
        <w:rPr>
          <w:rFonts w:ascii="Cambria" w:hAnsi="Cambria"/>
          <w:iCs/>
          <w:noProof/>
          <w:szCs w:val="20"/>
          <w:lang w:eastAsia="fr-FR"/>
        </w:rPr>
      </w:pPr>
      <w:r w:rsidRPr="009B7485">
        <w:rPr>
          <w:rFonts w:ascii="Cambria" w:hAnsi="Cambria"/>
          <w:iCs/>
          <w:noProof/>
          <w:szCs w:val="20"/>
          <w:lang w:eastAsia="fr-FR"/>
        </w:rPr>
        <w:t>L’intérêt principal est de mener les élèves vers la réussite en suscitant leur curiosité et leur créativité dans les apprentissages scolaires grâce aux leviers du tourisme et de la culture.</w:t>
      </w:r>
      <w:r w:rsidR="001A6BFD">
        <w:rPr>
          <w:rFonts w:ascii="Cambria" w:hAnsi="Cambria"/>
          <w:iCs/>
          <w:noProof/>
          <w:szCs w:val="20"/>
          <w:lang w:eastAsia="fr-FR"/>
        </w:rPr>
        <w:t xml:space="preserve"> </w:t>
      </w:r>
      <w:r w:rsidRPr="009B7485">
        <w:rPr>
          <w:rFonts w:ascii="Cambria" w:hAnsi="Cambria"/>
          <w:iCs/>
          <w:noProof/>
          <w:szCs w:val="20"/>
          <w:lang w:eastAsia="fr-FR"/>
        </w:rPr>
        <w:t>Le foyer socio-éducatif (FSE) du collège de Taravao, est une association régie par la loi du 11 juillet 1901 et créé le 3 novembre 1994. Son siège se situe au sein même du collège de Taravao. Cet</w:t>
      </w:r>
      <w:r w:rsidR="00B658D9">
        <w:rPr>
          <w:rFonts w:ascii="Cambria" w:hAnsi="Cambria"/>
          <w:iCs/>
          <w:noProof/>
          <w:szCs w:val="20"/>
          <w:lang w:eastAsia="fr-FR"/>
        </w:rPr>
        <w:t>te association a pour objet de</w:t>
      </w:r>
      <w:r w:rsidRPr="009B7485">
        <w:rPr>
          <w:rFonts w:ascii="Cambria" w:hAnsi="Cambria"/>
          <w:iCs/>
          <w:noProof/>
          <w:szCs w:val="20"/>
          <w:lang w:eastAsia="fr-FR"/>
        </w:rPr>
        <w:t xml:space="preserve"> prolonger l’enseignement des élèves, </w:t>
      </w:r>
      <w:r w:rsidR="00B658D9">
        <w:rPr>
          <w:rFonts w:ascii="Cambria" w:hAnsi="Cambria"/>
          <w:iCs/>
          <w:noProof/>
          <w:szCs w:val="20"/>
          <w:lang w:eastAsia="fr-FR"/>
        </w:rPr>
        <w:t xml:space="preserve">de </w:t>
      </w:r>
      <w:r w:rsidRPr="009B7485">
        <w:rPr>
          <w:rFonts w:ascii="Cambria" w:hAnsi="Cambria"/>
          <w:iCs/>
          <w:noProof/>
          <w:szCs w:val="20"/>
          <w:lang w:eastAsia="fr-FR"/>
        </w:rPr>
        <w:t xml:space="preserve">permettre aux élèves de développer leurs sens des responsabilités, </w:t>
      </w:r>
      <w:r w:rsidR="00B658D9">
        <w:rPr>
          <w:rFonts w:ascii="Cambria" w:hAnsi="Cambria"/>
          <w:iCs/>
          <w:noProof/>
          <w:szCs w:val="20"/>
          <w:lang w:eastAsia="fr-FR"/>
        </w:rPr>
        <w:t>d’</w:t>
      </w:r>
      <w:r w:rsidRPr="009B7485">
        <w:rPr>
          <w:rFonts w:ascii="Cambria" w:hAnsi="Cambria"/>
          <w:iCs/>
          <w:noProof/>
          <w:szCs w:val="20"/>
          <w:lang w:eastAsia="fr-FR"/>
        </w:rPr>
        <w:t xml:space="preserve">offrir aux élèves des activités enrichissantes, et </w:t>
      </w:r>
      <w:r w:rsidR="00B658D9">
        <w:rPr>
          <w:rFonts w:ascii="Cambria" w:hAnsi="Cambria"/>
          <w:iCs/>
          <w:noProof/>
          <w:szCs w:val="20"/>
          <w:lang w:eastAsia="fr-FR"/>
        </w:rPr>
        <w:t xml:space="preserve">de </w:t>
      </w:r>
      <w:r w:rsidRPr="009B7485">
        <w:rPr>
          <w:rFonts w:ascii="Cambria" w:hAnsi="Cambria"/>
          <w:iCs/>
          <w:noProof/>
          <w:szCs w:val="20"/>
          <w:lang w:eastAsia="fr-FR"/>
        </w:rPr>
        <w:t>faire intervenir les élèves dans les décisions, l’organisation des activités, le fonctionnement et la gestion même de l’association.</w:t>
      </w:r>
    </w:p>
    <w:p w14:paraId="4758FECC" w14:textId="50BF6577" w:rsidR="009B7485" w:rsidRDefault="009B7485" w:rsidP="009B7485">
      <w:pPr>
        <w:jc w:val="both"/>
        <w:rPr>
          <w:rFonts w:ascii="Cambria" w:hAnsi="Cambria"/>
          <w:iCs/>
          <w:noProof/>
          <w:szCs w:val="20"/>
          <w:lang w:eastAsia="fr-FR"/>
        </w:rPr>
      </w:pPr>
    </w:p>
    <w:p w14:paraId="6E6BFD16" w14:textId="77777777" w:rsidR="00B658D9" w:rsidRDefault="00B658D9" w:rsidP="009B7485">
      <w:pPr>
        <w:jc w:val="both"/>
        <w:rPr>
          <w:rFonts w:ascii="Cambria" w:hAnsi="Cambria"/>
          <w:lang w:eastAsia="fr-FR"/>
        </w:rPr>
      </w:pPr>
    </w:p>
    <w:p w14:paraId="4F3F2F45" w14:textId="18A443CB" w:rsidR="0031295B" w:rsidRPr="000E5978" w:rsidRDefault="0031295B" w:rsidP="0031295B">
      <w:pPr>
        <w:rPr>
          <w:rFonts w:ascii="Cambria" w:hAnsi="Cambria"/>
          <w:b/>
          <w:bCs/>
          <w:lang w:eastAsia="fr-FR"/>
        </w:rPr>
      </w:pPr>
      <w:r w:rsidRPr="000E5978">
        <w:rPr>
          <w:rFonts w:ascii="Cambria" w:hAnsi="Cambria"/>
          <w:b/>
          <w:bCs/>
          <w:lang w:eastAsia="fr-FR"/>
        </w:rPr>
        <w:t>Subventions en faveur d</w:t>
      </w:r>
      <w:r w:rsidR="00BB17F3">
        <w:rPr>
          <w:rFonts w:ascii="Cambria" w:hAnsi="Cambria"/>
          <w:b/>
          <w:bCs/>
          <w:lang w:eastAsia="fr-FR"/>
        </w:rPr>
        <w:t>’</w:t>
      </w:r>
      <w:r w:rsidRPr="000E5978">
        <w:rPr>
          <w:rFonts w:ascii="Cambria" w:hAnsi="Cambria"/>
          <w:b/>
          <w:bCs/>
          <w:lang w:eastAsia="fr-FR"/>
        </w:rPr>
        <w:t xml:space="preserve">associations </w:t>
      </w:r>
      <w:r w:rsidR="001A6BFD">
        <w:rPr>
          <w:rFonts w:ascii="Cambria" w:hAnsi="Cambria"/>
          <w:b/>
          <w:bCs/>
          <w:lang w:eastAsia="fr-FR"/>
        </w:rPr>
        <w:t xml:space="preserve">sportives </w:t>
      </w:r>
      <w:r w:rsidRPr="000E5978">
        <w:rPr>
          <w:rFonts w:ascii="Cambria" w:hAnsi="Cambria"/>
          <w:b/>
          <w:bCs/>
          <w:lang w:eastAsia="fr-FR"/>
        </w:rPr>
        <w:t xml:space="preserve">et </w:t>
      </w:r>
      <w:r>
        <w:rPr>
          <w:rFonts w:ascii="Cambria" w:hAnsi="Cambria"/>
          <w:b/>
          <w:bCs/>
          <w:lang w:eastAsia="fr-FR"/>
        </w:rPr>
        <w:t>d’</w:t>
      </w:r>
      <w:r w:rsidRPr="000E5978">
        <w:rPr>
          <w:rFonts w:ascii="Cambria" w:hAnsi="Cambria"/>
          <w:b/>
          <w:bCs/>
          <w:lang w:eastAsia="fr-FR"/>
        </w:rPr>
        <w:t>une fédération sportive</w:t>
      </w:r>
    </w:p>
    <w:p w14:paraId="460549E6" w14:textId="77777777" w:rsidR="0031295B" w:rsidRPr="000E5978" w:rsidRDefault="0031295B" w:rsidP="0031295B">
      <w:pPr>
        <w:rPr>
          <w:rFonts w:ascii="Cambria" w:hAnsi="Cambria"/>
          <w:lang w:eastAsia="fr-FR"/>
        </w:rPr>
      </w:pPr>
    </w:p>
    <w:p w14:paraId="53F0E29B" w14:textId="15CE726F" w:rsidR="0031295B" w:rsidRDefault="0031295B" w:rsidP="0031295B">
      <w:pPr>
        <w:jc w:val="both"/>
        <w:rPr>
          <w:rFonts w:ascii="Cambria" w:hAnsi="Cambria"/>
          <w:lang w:eastAsia="fr-FR"/>
        </w:rPr>
      </w:pPr>
      <w:r w:rsidRPr="000E5978">
        <w:rPr>
          <w:rFonts w:ascii="Cambria" w:hAnsi="Cambria"/>
          <w:lang w:eastAsia="fr-FR"/>
        </w:rPr>
        <w:t xml:space="preserve">Sur proposition </w:t>
      </w:r>
      <w:r>
        <w:rPr>
          <w:rFonts w:ascii="Cambria" w:hAnsi="Cambria"/>
          <w:lang w:eastAsia="fr-FR"/>
        </w:rPr>
        <w:t xml:space="preserve">du </w:t>
      </w:r>
      <w:r w:rsidR="001A6BFD">
        <w:rPr>
          <w:rFonts w:ascii="Cambria" w:hAnsi="Cambria"/>
          <w:lang w:eastAsia="fr-FR"/>
        </w:rPr>
        <w:t>ministre en charge de la J</w:t>
      </w:r>
      <w:r w:rsidRPr="000E5978">
        <w:rPr>
          <w:rFonts w:ascii="Cambria" w:hAnsi="Cambria"/>
          <w:lang w:eastAsia="fr-FR"/>
        </w:rPr>
        <w:t xml:space="preserve">eunesse et des sports, le Conseil des </w:t>
      </w:r>
      <w:r>
        <w:rPr>
          <w:rFonts w:ascii="Cambria" w:hAnsi="Cambria"/>
          <w:lang w:eastAsia="fr-FR"/>
        </w:rPr>
        <w:t>m</w:t>
      </w:r>
      <w:r w:rsidRPr="000E5978">
        <w:rPr>
          <w:rFonts w:ascii="Cambria" w:hAnsi="Cambria"/>
          <w:lang w:eastAsia="fr-FR"/>
        </w:rPr>
        <w:t xml:space="preserve">inistres a adopté l'octroi de subventions pour un montant de 23 214 000 </w:t>
      </w:r>
      <w:proofErr w:type="spellStart"/>
      <w:r w:rsidRPr="000E5978">
        <w:rPr>
          <w:rFonts w:ascii="Cambria" w:hAnsi="Cambria"/>
          <w:lang w:eastAsia="fr-FR"/>
        </w:rPr>
        <w:t>Fcfp</w:t>
      </w:r>
      <w:proofErr w:type="spellEnd"/>
      <w:r w:rsidRPr="000E5978">
        <w:rPr>
          <w:rFonts w:ascii="Cambria" w:hAnsi="Cambria"/>
          <w:lang w:eastAsia="fr-FR"/>
        </w:rPr>
        <w:t>, en faveur de</w:t>
      </w:r>
      <w:r w:rsidR="001A6BFD">
        <w:rPr>
          <w:rFonts w:ascii="Cambria" w:hAnsi="Cambria"/>
          <w:lang w:eastAsia="fr-FR"/>
        </w:rPr>
        <w:t xml:space="preserve"> plusieurs</w:t>
      </w:r>
      <w:r>
        <w:rPr>
          <w:rFonts w:ascii="Cambria" w:hAnsi="Cambria"/>
          <w:lang w:eastAsia="fr-FR"/>
        </w:rPr>
        <w:t xml:space="preserve"> </w:t>
      </w:r>
      <w:r w:rsidRPr="000E5978">
        <w:rPr>
          <w:rFonts w:ascii="Cambria" w:hAnsi="Cambria"/>
          <w:lang w:eastAsia="fr-FR"/>
        </w:rPr>
        <w:t xml:space="preserve">associations et </w:t>
      </w:r>
      <w:r>
        <w:rPr>
          <w:rFonts w:ascii="Cambria" w:hAnsi="Cambria"/>
          <w:lang w:eastAsia="fr-FR"/>
        </w:rPr>
        <w:t>d’</w:t>
      </w:r>
      <w:r w:rsidR="001A6BFD">
        <w:rPr>
          <w:rFonts w:ascii="Cambria" w:hAnsi="Cambria"/>
          <w:lang w:eastAsia="fr-FR"/>
        </w:rPr>
        <w:t>une fédération sportive</w:t>
      </w:r>
      <w:r w:rsidRPr="000E5978">
        <w:rPr>
          <w:rFonts w:ascii="Cambria" w:hAnsi="Cambria"/>
          <w:lang w:eastAsia="fr-FR"/>
        </w:rPr>
        <w:t xml:space="preserve">: </w:t>
      </w:r>
    </w:p>
    <w:p w14:paraId="5B323D48" w14:textId="77777777" w:rsidR="0031295B" w:rsidRPr="000E5978" w:rsidRDefault="0031295B" w:rsidP="0031295B">
      <w:pPr>
        <w:jc w:val="both"/>
        <w:rPr>
          <w:rFonts w:ascii="Cambria" w:hAnsi="Cambria"/>
          <w:lang w:eastAsia="fr-FR"/>
        </w:rPr>
      </w:pPr>
    </w:p>
    <w:p w14:paraId="2C3664A0" w14:textId="53FAAE84" w:rsidR="0031295B" w:rsidRDefault="001A6BFD" w:rsidP="0031295B">
      <w:pPr>
        <w:jc w:val="both"/>
        <w:rPr>
          <w:rFonts w:ascii="Cambria" w:hAnsi="Cambria"/>
          <w:lang w:eastAsia="fr-FR"/>
        </w:rPr>
      </w:pPr>
      <w:r>
        <w:rPr>
          <w:rFonts w:ascii="Cambria" w:hAnsi="Cambria"/>
          <w:lang w:eastAsia="fr-FR"/>
        </w:rPr>
        <w:t xml:space="preserve">Les associations concernées sont les suivantes: </w:t>
      </w:r>
      <w:proofErr w:type="spellStart"/>
      <w:r w:rsidR="0031295B" w:rsidRPr="000E5978">
        <w:rPr>
          <w:rFonts w:ascii="Cambria" w:hAnsi="Cambria"/>
          <w:lang w:eastAsia="fr-FR"/>
        </w:rPr>
        <w:t>Tamarii</w:t>
      </w:r>
      <w:proofErr w:type="spellEnd"/>
      <w:r w:rsidR="0031295B" w:rsidRPr="000E5978">
        <w:rPr>
          <w:rFonts w:ascii="Cambria" w:hAnsi="Cambria"/>
          <w:lang w:eastAsia="fr-FR"/>
        </w:rPr>
        <w:t xml:space="preserve"> </w:t>
      </w:r>
      <w:proofErr w:type="spellStart"/>
      <w:r w:rsidR="0031295B" w:rsidRPr="000E5978">
        <w:rPr>
          <w:rFonts w:ascii="Cambria" w:hAnsi="Cambria"/>
          <w:lang w:eastAsia="fr-FR"/>
        </w:rPr>
        <w:t>Taravao</w:t>
      </w:r>
      <w:proofErr w:type="spellEnd"/>
      <w:r w:rsidR="0031295B" w:rsidRPr="000E5978">
        <w:rPr>
          <w:rFonts w:ascii="Cambria" w:hAnsi="Cambria"/>
          <w:lang w:eastAsia="fr-FR"/>
        </w:rPr>
        <w:t xml:space="preserve">, </w:t>
      </w:r>
      <w:proofErr w:type="spellStart"/>
      <w:r w:rsidR="0031295B" w:rsidRPr="000E5978">
        <w:rPr>
          <w:rFonts w:ascii="Cambria" w:hAnsi="Cambria"/>
          <w:lang w:eastAsia="fr-FR"/>
        </w:rPr>
        <w:t>Pouau</w:t>
      </w:r>
      <w:proofErr w:type="spellEnd"/>
      <w:r w:rsidR="0031295B" w:rsidRPr="000E5978">
        <w:rPr>
          <w:rFonts w:ascii="Cambria" w:hAnsi="Cambria"/>
          <w:lang w:eastAsia="fr-FR"/>
        </w:rPr>
        <w:t xml:space="preserve"> Nui, Te </w:t>
      </w:r>
      <w:proofErr w:type="spellStart"/>
      <w:r w:rsidR="0031295B" w:rsidRPr="000E5978">
        <w:rPr>
          <w:rFonts w:ascii="Cambria" w:hAnsi="Cambria"/>
          <w:lang w:eastAsia="fr-FR"/>
        </w:rPr>
        <w:t>U’i</w:t>
      </w:r>
      <w:proofErr w:type="spellEnd"/>
      <w:r w:rsidR="0031295B" w:rsidRPr="000E5978">
        <w:rPr>
          <w:rFonts w:ascii="Cambria" w:hAnsi="Cambria"/>
          <w:lang w:eastAsia="fr-FR"/>
        </w:rPr>
        <w:t xml:space="preserve"> Tefana, </w:t>
      </w:r>
      <w:proofErr w:type="spellStart"/>
      <w:r w:rsidR="0031295B" w:rsidRPr="000E5978">
        <w:rPr>
          <w:rFonts w:ascii="Cambria" w:hAnsi="Cambria"/>
          <w:lang w:eastAsia="fr-FR"/>
        </w:rPr>
        <w:t>Tahitian</w:t>
      </w:r>
      <w:proofErr w:type="spellEnd"/>
      <w:r w:rsidR="0031295B" w:rsidRPr="000E5978">
        <w:rPr>
          <w:rFonts w:ascii="Cambria" w:hAnsi="Cambria"/>
          <w:lang w:eastAsia="fr-FR"/>
        </w:rPr>
        <w:t xml:space="preserve"> </w:t>
      </w:r>
      <w:proofErr w:type="spellStart"/>
      <w:r w:rsidR="0031295B" w:rsidRPr="000E5978">
        <w:rPr>
          <w:rFonts w:ascii="Cambria" w:hAnsi="Cambria"/>
          <w:lang w:eastAsia="fr-FR"/>
        </w:rPr>
        <w:t>Paddle</w:t>
      </w:r>
      <w:proofErr w:type="spellEnd"/>
      <w:r w:rsidR="0031295B" w:rsidRPr="000E5978">
        <w:rPr>
          <w:rFonts w:ascii="Cambria" w:hAnsi="Cambria"/>
          <w:lang w:eastAsia="fr-FR"/>
        </w:rPr>
        <w:t xml:space="preserve">, </w:t>
      </w:r>
      <w:proofErr w:type="spellStart"/>
      <w:r w:rsidR="0031295B" w:rsidRPr="000E5978">
        <w:rPr>
          <w:rFonts w:ascii="Cambria" w:hAnsi="Cambria"/>
          <w:lang w:eastAsia="fr-FR"/>
        </w:rPr>
        <w:t>Paea</w:t>
      </w:r>
      <w:proofErr w:type="spellEnd"/>
      <w:r w:rsidR="0031295B" w:rsidRPr="000E5978">
        <w:rPr>
          <w:rFonts w:ascii="Cambria" w:hAnsi="Cambria"/>
          <w:lang w:eastAsia="fr-FR"/>
        </w:rPr>
        <w:t xml:space="preserve"> Manu </w:t>
      </w:r>
      <w:proofErr w:type="spellStart"/>
      <w:r w:rsidR="0031295B" w:rsidRPr="000E5978">
        <w:rPr>
          <w:rFonts w:ascii="Cambria" w:hAnsi="Cambria"/>
          <w:lang w:eastAsia="fr-FR"/>
        </w:rPr>
        <w:t>Ura</w:t>
      </w:r>
      <w:proofErr w:type="spellEnd"/>
      <w:r w:rsidR="0031295B" w:rsidRPr="000E5978">
        <w:rPr>
          <w:rFonts w:ascii="Cambria" w:hAnsi="Cambria"/>
          <w:lang w:eastAsia="fr-FR"/>
        </w:rPr>
        <w:t xml:space="preserve"> Rugby Club, Comité Futsal de </w:t>
      </w:r>
      <w:proofErr w:type="spellStart"/>
      <w:r w:rsidR="0031295B" w:rsidRPr="000E5978">
        <w:rPr>
          <w:rFonts w:ascii="Cambria" w:hAnsi="Cambria"/>
          <w:lang w:eastAsia="fr-FR"/>
        </w:rPr>
        <w:t>Ua</w:t>
      </w:r>
      <w:proofErr w:type="spellEnd"/>
      <w:r w:rsidR="0031295B" w:rsidRPr="000E5978">
        <w:rPr>
          <w:rFonts w:ascii="Cambria" w:hAnsi="Cambria"/>
          <w:lang w:eastAsia="fr-FR"/>
        </w:rPr>
        <w:t xml:space="preserve"> Pou, </w:t>
      </w:r>
      <w:proofErr w:type="spellStart"/>
      <w:r w:rsidR="0031295B" w:rsidRPr="000E5978">
        <w:rPr>
          <w:rFonts w:ascii="Cambria" w:hAnsi="Cambria"/>
          <w:lang w:eastAsia="fr-FR"/>
        </w:rPr>
        <w:t>Mahina</w:t>
      </w:r>
      <w:proofErr w:type="spellEnd"/>
      <w:r w:rsidR="0031295B" w:rsidRPr="000E5978">
        <w:rPr>
          <w:rFonts w:ascii="Cambria" w:hAnsi="Cambria"/>
          <w:lang w:eastAsia="fr-FR"/>
        </w:rPr>
        <w:t xml:space="preserve"> </w:t>
      </w:r>
      <w:proofErr w:type="spellStart"/>
      <w:r w:rsidR="0031295B" w:rsidRPr="000E5978">
        <w:rPr>
          <w:rFonts w:ascii="Cambria" w:hAnsi="Cambria"/>
          <w:lang w:eastAsia="fr-FR"/>
        </w:rPr>
        <w:t>Boxing</w:t>
      </w:r>
      <w:proofErr w:type="spellEnd"/>
      <w:r w:rsidR="0031295B" w:rsidRPr="000E5978">
        <w:rPr>
          <w:rFonts w:ascii="Cambria" w:hAnsi="Cambria"/>
          <w:lang w:eastAsia="fr-FR"/>
        </w:rPr>
        <w:t xml:space="preserve"> Club, Comité des Sports de </w:t>
      </w:r>
      <w:proofErr w:type="spellStart"/>
      <w:r w:rsidR="0031295B" w:rsidRPr="000E5978">
        <w:rPr>
          <w:rFonts w:ascii="Cambria" w:hAnsi="Cambria"/>
          <w:lang w:eastAsia="fr-FR"/>
        </w:rPr>
        <w:t>Tubuai</w:t>
      </w:r>
      <w:proofErr w:type="spellEnd"/>
      <w:r w:rsidR="0031295B" w:rsidRPr="000E5978">
        <w:rPr>
          <w:rFonts w:ascii="Cambria" w:hAnsi="Cambria"/>
          <w:lang w:eastAsia="fr-FR"/>
        </w:rPr>
        <w:t xml:space="preserve">, Pirae </w:t>
      </w:r>
      <w:proofErr w:type="spellStart"/>
      <w:r w:rsidR="0031295B" w:rsidRPr="000E5978">
        <w:rPr>
          <w:rFonts w:ascii="Cambria" w:hAnsi="Cambria"/>
          <w:lang w:eastAsia="fr-FR"/>
        </w:rPr>
        <w:t>Va’a</w:t>
      </w:r>
      <w:proofErr w:type="spellEnd"/>
      <w:r w:rsidR="0031295B" w:rsidRPr="000E5978">
        <w:rPr>
          <w:rFonts w:ascii="Cambria" w:hAnsi="Cambria"/>
          <w:lang w:eastAsia="fr-FR"/>
        </w:rPr>
        <w:t xml:space="preserve">, District de </w:t>
      </w:r>
      <w:proofErr w:type="spellStart"/>
      <w:r w:rsidR="0031295B" w:rsidRPr="000E5978">
        <w:rPr>
          <w:rFonts w:ascii="Cambria" w:hAnsi="Cambria"/>
          <w:lang w:eastAsia="fr-FR"/>
        </w:rPr>
        <w:t>Va’a</w:t>
      </w:r>
      <w:proofErr w:type="spellEnd"/>
      <w:r w:rsidR="0031295B" w:rsidRPr="000E5978">
        <w:rPr>
          <w:rFonts w:ascii="Cambria" w:hAnsi="Cambria"/>
          <w:lang w:eastAsia="fr-FR"/>
        </w:rPr>
        <w:t xml:space="preserve"> de Raiatea, Kona Tri, Club Equestre de Tahiti, </w:t>
      </w:r>
      <w:proofErr w:type="spellStart"/>
      <w:r w:rsidR="0031295B" w:rsidRPr="000E5978">
        <w:rPr>
          <w:rFonts w:ascii="Cambria" w:hAnsi="Cambria"/>
          <w:lang w:eastAsia="fr-FR"/>
        </w:rPr>
        <w:t>Heelani</w:t>
      </w:r>
      <w:proofErr w:type="spellEnd"/>
      <w:r w:rsidR="0031295B" w:rsidRPr="000E5978">
        <w:rPr>
          <w:rFonts w:ascii="Cambria" w:hAnsi="Cambria"/>
          <w:lang w:eastAsia="fr-FR"/>
        </w:rPr>
        <w:t xml:space="preserve"> </w:t>
      </w:r>
      <w:proofErr w:type="spellStart"/>
      <w:r w:rsidR="0031295B" w:rsidRPr="000E5978">
        <w:rPr>
          <w:rFonts w:ascii="Cambria" w:hAnsi="Cambria"/>
          <w:lang w:eastAsia="fr-FR"/>
        </w:rPr>
        <w:t>Va’a</w:t>
      </w:r>
      <w:proofErr w:type="spellEnd"/>
      <w:r w:rsidR="0031295B" w:rsidRPr="000E5978">
        <w:rPr>
          <w:rFonts w:ascii="Cambria" w:hAnsi="Cambria"/>
          <w:lang w:eastAsia="fr-FR"/>
        </w:rPr>
        <w:t xml:space="preserve"> de Punaauia, Section sportive Tefana Taekwondo, Faa’a Rugby </w:t>
      </w:r>
      <w:proofErr w:type="spellStart"/>
      <w:r w:rsidR="0031295B" w:rsidRPr="000E5978">
        <w:rPr>
          <w:rFonts w:ascii="Cambria" w:hAnsi="Cambria"/>
          <w:lang w:eastAsia="fr-FR"/>
        </w:rPr>
        <w:t>Aro</w:t>
      </w:r>
      <w:proofErr w:type="spellEnd"/>
      <w:r w:rsidR="0031295B" w:rsidRPr="000E5978">
        <w:rPr>
          <w:rFonts w:ascii="Cambria" w:hAnsi="Cambria"/>
          <w:lang w:eastAsia="fr-FR"/>
        </w:rPr>
        <w:t xml:space="preserve"> Académie de Rugby de </w:t>
      </w:r>
      <w:proofErr w:type="spellStart"/>
      <w:r w:rsidR="0031295B" w:rsidRPr="000E5978">
        <w:rPr>
          <w:rFonts w:ascii="Cambria" w:hAnsi="Cambria"/>
          <w:lang w:eastAsia="fr-FR"/>
        </w:rPr>
        <w:t>Oremu</w:t>
      </w:r>
      <w:proofErr w:type="spellEnd"/>
      <w:r w:rsidR="0031295B" w:rsidRPr="000E5978">
        <w:rPr>
          <w:rFonts w:ascii="Cambria" w:hAnsi="Cambria"/>
          <w:lang w:eastAsia="fr-FR"/>
        </w:rPr>
        <w:t xml:space="preserve">, District de </w:t>
      </w:r>
      <w:proofErr w:type="spellStart"/>
      <w:r w:rsidR="0031295B" w:rsidRPr="000E5978">
        <w:rPr>
          <w:rFonts w:ascii="Cambria" w:hAnsi="Cambria"/>
          <w:lang w:eastAsia="fr-FR"/>
        </w:rPr>
        <w:t>Va’a</w:t>
      </w:r>
      <w:proofErr w:type="spellEnd"/>
      <w:r w:rsidR="0031295B" w:rsidRPr="000E5978">
        <w:rPr>
          <w:rFonts w:ascii="Cambria" w:hAnsi="Cambria"/>
          <w:lang w:eastAsia="fr-FR"/>
        </w:rPr>
        <w:t xml:space="preserve"> de </w:t>
      </w:r>
      <w:proofErr w:type="spellStart"/>
      <w:r w:rsidR="0031295B" w:rsidRPr="000E5978">
        <w:rPr>
          <w:rFonts w:ascii="Cambria" w:hAnsi="Cambria"/>
          <w:lang w:eastAsia="fr-FR"/>
        </w:rPr>
        <w:t>Nuku</w:t>
      </w:r>
      <w:proofErr w:type="spellEnd"/>
      <w:r w:rsidR="0031295B" w:rsidRPr="000E5978">
        <w:rPr>
          <w:rFonts w:ascii="Cambria" w:hAnsi="Cambria"/>
          <w:lang w:eastAsia="fr-FR"/>
        </w:rPr>
        <w:t xml:space="preserve"> </w:t>
      </w:r>
      <w:proofErr w:type="spellStart"/>
      <w:r w:rsidR="0031295B" w:rsidRPr="000E5978">
        <w:rPr>
          <w:rFonts w:ascii="Cambria" w:hAnsi="Cambria"/>
          <w:lang w:eastAsia="fr-FR"/>
        </w:rPr>
        <w:t>Hiva</w:t>
      </w:r>
      <w:proofErr w:type="spellEnd"/>
      <w:r w:rsidR="0031295B" w:rsidRPr="000E5978">
        <w:rPr>
          <w:rFonts w:ascii="Cambria" w:hAnsi="Cambria"/>
          <w:lang w:eastAsia="fr-FR"/>
        </w:rPr>
        <w:t xml:space="preserve">, Team Faa’a </w:t>
      </w:r>
      <w:proofErr w:type="spellStart"/>
      <w:r w:rsidR="0031295B" w:rsidRPr="000E5978">
        <w:rPr>
          <w:rFonts w:ascii="Cambria" w:hAnsi="Cambria"/>
          <w:lang w:eastAsia="fr-FR"/>
        </w:rPr>
        <w:t>Va’a</w:t>
      </w:r>
      <w:proofErr w:type="spellEnd"/>
      <w:r w:rsidR="0031295B" w:rsidRPr="000E5978">
        <w:rPr>
          <w:rFonts w:ascii="Cambria" w:hAnsi="Cambria"/>
          <w:lang w:eastAsia="fr-FR"/>
        </w:rPr>
        <w:t xml:space="preserve">, Cercle d’Aviron Polynésien – </w:t>
      </w:r>
      <w:proofErr w:type="spellStart"/>
      <w:r w:rsidR="0031295B" w:rsidRPr="000E5978">
        <w:rPr>
          <w:rFonts w:ascii="Cambria" w:hAnsi="Cambria"/>
          <w:lang w:eastAsia="fr-FR"/>
        </w:rPr>
        <w:t>Marara</w:t>
      </w:r>
      <w:proofErr w:type="spellEnd"/>
      <w:r w:rsidR="0031295B" w:rsidRPr="000E5978">
        <w:rPr>
          <w:rFonts w:ascii="Cambria" w:hAnsi="Cambria"/>
          <w:lang w:eastAsia="fr-FR"/>
        </w:rPr>
        <w:t xml:space="preserve">, Pirae Volley Club, Rugby Club de Pirae, Saint Etienne – Jeunes de </w:t>
      </w:r>
      <w:proofErr w:type="spellStart"/>
      <w:r w:rsidR="0031295B" w:rsidRPr="000E5978">
        <w:rPr>
          <w:rFonts w:ascii="Cambria" w:hAnsi="Cambria"/>
          <w:lang w:eastAsia="fr-FR"/>
        </w:rPr>
        <w:t>Hakahau</w:t>
      </w:r>
      <w:proofErr w:type="spellEnd"/>
      <w:r w:rsidR="0031295B" w:rsidRPr="000E5978">
        <w:rPr>
          <w:rFonts w:ascii="Cambria" w:hAnsi="Cambria"/>
          <w:lang w:eastAsia="fr-FR"/>
        </w:rPr>
        <w:t>, Comité Sportif des Ma</w:t>
      </w:r>
      <w:r>
        <w:rPr>
          <w:rFonts w:ascii="Cambria" w:hAnsi="Cambria"/>
          <w:lang w:eastAsia="fr-FR"/>
        </w:rPr>
        <w:t xml:space="preserve">rquises Nord et </w:t>
      </w:r>
      <w:proofErr w:type="spellStart"/>
      <w:r>
        <w:rPr>
          <w:rFonts w:ascii="Cambria" w:hAnsi="Cambria"/>
          <w:lang w:eastAsia="fr-FR"/>
        </w:rPr>
        <w:t>Tamarii</w:t>
      </w:r>
      <w:proofErr w:type="spellEnd"/>
      <w:r>
        <w:rPr>
          <w:rFonts w:ascii="Cambria" w:hAnsi="Cambria"/>
          <w:lang w:eastAsia="fr-FR"/>
        </w:rPr>
        <w:t xml:space="preserve"> </w:t>
      </w:r>
      <w:proofErr w:type="spellStart"/>
      <w:r>
        <w:rPr>
          <w:rFonts w:ascii="Cambria" w:hAnsi="Cambria"/>
          <w:lang w:eastAsia="fr-FR"/>
        </w:rPr>
        <w:t>Punaruu</w:t>
      </w:r>
      <w:proofErr w:type="spellEnd"/>
      <w:r>
        <w:rPr>
          <w:rFonts w:ascii="Cambria" w:hAnsi="Cambria"/>
          <w:lang w:eastAsia="fr-FR"/>
        </w:rPr>
        <w:t>, avec également la F</w:t>
      </w:r>
      <w:r w:rsidR="0031295B" w:rsidRPr="000E5978">
        <w:rPr>
          <w:rFonts w:ascii="Cambria" w:hAnsi="Cambria"/>
          <w:lang w:eastAsia="fr-FR"/>
        </w:rPr>
        <w:t>édération Polynésienne de Rugby.</w:t>
      </w:r>
    </w:p>
    <w:p w14:paraId="3DBF1B4D" w14:textId="77777777" w:rsidR="0031295B" w:rsidRDefault="0031295B" w:rsidP="0031295B">
      <w:pPr>
        <w:jc w:val="both"/>
        <w:rPr>
          <w:rFonts w:ascii="Cambria" w:hAnsi="Cambria"/>
          <w:lang w:eastAsia="fr-FR"/>
        </w:rPr>
      </w:pPr>
    </w:p>
    <w:p w14:paraId="67873642" w14:textId="55F2858F" w:rsidR="0031295B" w:rsidRDefault="001A6BFD" w:rsidP="0031295B">
      <w:pPr>
        <w:jc w:val="both"/>
        <w:rPr>
          <w:rFonts w:ascii="Cambria" w:hAnsi="Cambria"/>
          <w:lang w:eastAsia="fr-FR"/>
        </w:rPr>
      </w:pPr>
      <w:r>
        <w:rPr>
          <w:rFonts w:ascii="Cambria" w:hAnsi="Cambria"/>
          <w:lang w:eastAsia="fr-FR"/>
        </w:rPr>
        <w:t xml:space="preserve">Ces subventions sont attribuées </w:t>
      </w:r>
      <w:r w:rsidR="0031295B" w:rsidRPr="000E5978">
        <w:rPr>
          <w:rFonts w:ascii="Cambria" w:hAnsi="Cambria"/>
          <w:lang w:eastAsia="fr-FR"/>
        </w:rPr>
        <w:t>près avis de la commission du sport sur</w:t>
      </w:r>
      <w:r>
        <w:rPr>
          <w:rFonts w:ascii="Cambria" w:hAnsi="Cambria"/>
          <w:lang w:eastAsia="fr-FR"/>
        </w:rPr>
        <w:t xml:space="preserve"> la base de</w:t>
      </w:r>
      <w:r w:rsidR="0031295B" w:rsidRPr="000E5978">
        <w:rPr>
          <w:rFonts w:ascii="Cambria" w:hAnsi="Cambria"/>
          <w:lang w:eastAsia="fr-FR"/>
        </w:rPr>
        <w:t xml:space="preserve"> critères relatifs notamment à la gestion administrative d’une structure associative, au développement de la pratique sportive en fonction du nombre de licenciés, des catégories engagées et de la présence sportive dans les archipels, à la mise en place d’actions de formation en faveur des cadres et des dirigeants ou encore au développement de la pratique de haut niveau, </w:t>
      </w:r>
      <w:r>
        <w:rPr>
          <w:rFonts w:ascii="Cambria" w:hAnsi="Cambria"/>
          <w:lang w:eastAsia="fr-FR"/>
        </w:rPr>
        <w:t xml:space="preserve">ou encore </w:t>
      </w:r>
      <w:r w:rsidR="0031295B" w:rsidRPr="000E5978">
        <w:rPr>
          <w:rFonts w:ascii="Cambria" w:hAnsi="Cambria"/>
          <w:lang w:eastAsia="fr-FR"/>
        </w:rPr>
        <w:t>à l’accompagnement éducatif et aux actions en direct</w:t>
      </w:r>
      <w:r>
        <w:rPr>
          <w:rFonts w:ascii="Cambria" w:hAnsi="Cambria"/>
          <w:lang w:eastAsia="fr-FR"/>
        </w:rPr>
        <w:t>ion des jeunes scolarisés.</w:t>
      </w:r>
    </w:p>
    <w:p w14:paraId="47651549" w14:textId="77777777" w:rsidR="00BB17F3" w:rsidRDefault="00BB17F3" w:rsidP="0031295B">
      <w:pPr>
        <w:jc w:val="both"/>
        <w:rPr>
          <w:rFonts w:ascii="Cambria" w:hAnsi="Cambria"/>
          <w:lang w:eastAsia="fr-FR"/>
        </w:rPr>
      </w:pPr>
    </w:p>
    <w:p w14:paraId="262BDF57" w14:textId="77777777" w:rsidR="00BB17F3" w:rsidRDefault="00BB17F3" w:rsidP="0031295B">
      <w:pPr>
        <w:jc w:val="both"/>
        <w:rPr>
          <w:rFonts w:ascii="Cambria" w:hAnsi="Cambria"/>
          <w:lang w:eastAsia="fr-FR"/>
        </w:rPr>
      </w:pPr>
    </w:p>
    <w:p w14:paraId="07695F4E" w14:textId="77777777" w:rsidR="00BB17F3" w:rsidRPr="000C153E" w:rsidRDefault="00BB17F3" w:rsidP="00BB17F3">
      <w:pPr>
        <w:jc w:val="both"/>
        <w:rPr>
          <w:rFonts w:ascii="Cambria" w:hAnsi="Cambria"/>
          <w:b/>
          <w:color w:val="000000" w:themeColor="text1"/>
        </w:rPr>
      </w:pPr>
      <w:r w:rsidRPr="000C153E">
        <w:rPr>
          <w:rFonts w:ascii="Cambria" w:hAnsi="Cambria"/>
          <w:b/>
          <w:color w:val="000000" w:themeColor="text1"/>
        </w:rPr>
        <w:t xml:space="preserve">Santé: subventions de fonctionnement en faveur de trois associations </w:t>
      </w:r>
      <w:proofErr w:type="spellStart"/>
      <w:r w:rsidRPr="000C153E">
        <w:rPr>
          <w:rFonts w:ascii="Cambria" w:hAnsi="Cambria"/>
          <w:b/>
          <w:color w:val="000000" w:themeColor="text1"/>
        </w:rPr>
        <w:t>oeuvrant</w:t>
      </w:r>
      <w:proofErr w:type="spellEnd"/>
      <w:r w:rsidRPr="000C153E">
        <w:rPr>
          <w:rFonts w:ascii="Cambria" w:hAnsi="Cambria"/>
          <w:b/>
          <w:color w:val="000000" w:themeColor="text1"/>
        </w:rPr>
        <w:t xml:space="preserve"> pour la prévention</w:t>
      </w:r>
    </w:p>
    <w:p w14:paraId="7079F917" w14:textId="77777777" w:rsidR="00BB17F3" w:rsidRPr="000C153E" w:rsidRDefault="00BB17F3" w:rsidP="00BB17F3">
      <w:pPr>
        <w:jc w:val="both"/>
        <w:rPr>
          <w:rFonts w:ascii="Cambria" w:hAnsi="Cambria"/>
          <w:b/>
          <w:color w:val="000000" w:themeColor="text1"/>
        </w:rPr>
      </w:pPr>
    </w:p>
    <w:p w14:paraId="1255EBAF" w14:textId="77777777" w:rsidR="00BB17F3" w:rsidRPr="000C153E" w:rsidRDefault="00BB17F3" w:rsidP="00BB17F3">
      <w:pPr>
        <w:jc w:val="both"/>
        <w:rPr>
          <w:rFonts w:ascii="Cambria" w:hAnsi="Cambria"/>
          <w:color w:val="000000" w:themeColor="text1"/>
        </w:rPr>
      </w:pPr>
      <w:r w:rsidRPr="000C153E">
        <w:rPr>
          <w:rFonts w:ascii="Cambria" w:hAnsi="Cambria"/>
          <w:color w:val="000000" w:themeColor="text1"/>
        </w:rPr>
        <w:t>Sur proposition du ministre de la Santé, le Conseil des ministres a octroyé des subventions de fonctionnement à trois associations, selon les modalités suivantes:</w:t>
      </w:r>
    </w:p>
    <w:p w14:paraId="053F43A9" w14:textId="77777777" w:rsidR="00BB17F3" w:rsidRPr="000C153E" w:rsidRDefault="00BB17F3" w:rsidP="00BB17F3">
      <w:pPr>
        <w:pStyle w:val="-LettreTexteGEDA"/>
        <w:numPr>
          <w:ilvl w:val="0"/>
          <w:numId w:val="4"/>
        </w:numPr>
        <w:tabs>
          <w:tab w:val="num" w:pos="284"/>
        </w:tabs>
        <w:ind w:left="284" w:hanging="284"/>
        <w:rPr>
          <w:rFonts w:ascii="Cambria" w:hAnsi="Cambria"/>
          <w:noProof w:val="0"/>
          <w:color w:val="000000" w:themeColor="text1"/>
          <w:szCs w:val="24"/>
        </w:rPr>
      </w:pPr>
      <w:r w:rsidRPr="000C153E">
        <w:rPr>
          <w:rFonts w:ascii="Cambria" w:hAnsi="Cambria"/>
          <w:noProof w:val="0"/>
          <w:color w:val="000000" w:themeColor="text1"/>
          <w:szCs w:val="24"/>
        </w:rPr>
        <w:t>un</w:t>
      </w:r>
      <w:r>
        <w:rPr>
          <w:rFonts w:ascii="Cambria" w:hAnsi="Cambria"/>
          <w:noProof w:val="0"/>
          <w:color w:val="000000" w:themeColor="text1"/>
          <w:szCs w:val="24"/>
        </w:rPr>
        <w:t>e</w:t>
      </w:r>
      <w:r w:rsidRPr="000C153E">
        <w:rPr>
          <w:rFonts w:ascii="Cambria" w:hAnsi="Cambria"/>
          <w:noProof w:val="0"/>
          <w:color w:val="000000" w:themeColor="text1"/>
          <w:szCs w:val="24"/>
        </w:rPr>
        <w:t xml:space="preserve"> </w:t>
      </w:r>
      <w:r>
        <w:rPr>
          <w:rFonts w:ascii="Cambria" w:hAnsi="Cambria"/>
          <w:noProof w:val="0"/>
          <w:color w:val="000000" w:themeColor="text1"/>
          <w:szCs w:val="24"/>
        </w:rPr>
        <w:t>subvention d’un montant d’1 023 915  </w:t>
      </w:r>
      <w:proofErr w:type="spellStart"/>
      <w:r>
        <w:rPr>
          <w:rFonts w:ascii="Cambria" w:hAnsi="Cambria"/>
          <w:noProof w:val="0"/>
          <w:color w:val="000000" w:themeColor="text1"/>
          <w:szCs w:val="24"/>
        </w:rPr>
        <w:t>Fcfp</w:t>
      </w:r>
      <w:proofErr w:type="spellEnd"/>
      <w:r w:rsidRPr="000C153E">
        <w:rPr>
          <w:rFonts w:ascii="Cambria" w:hAnsi="Cambria"/>
          <w:noProof w:val="0"/>
          <w:color w:val="000000" w:themeColor="text1"/>
          <w:szCs w:val="24"/>
        </w:rPr>
        <w:t xml:space="preserve"> en faveur de l’association du caméléon pour le festi</w:t>
      </w:r>
      <w:r>
        <w:rPr>
          <w:rFonts w:ascii="Cambria" w:hAnsi="Cambria"/>
          <w:noProof w:val="0"/>
          <w:color w:val="000000" w:themeColor="text1"/>
          <w:szCs w:val="24"/>
        </w:rPr>
        <w:t xml:space="preserve">val Te </w:t>
      </w:r>
      <w:proofErr w:type="spellStart"/>
      <w:r>
        <w:rPr>
          <w:rFonts w:ascii="Cambria" w:hAnsi="Cambria"/>
          <w:noProof w:val="0"/>
          <w:color w:val="000000" w:themeColor="text1"/>
          <w:szCs w:val="24"/>
        </w:rPr>
        <w:t>Vevo</w:t>
      </w:r>
      <w:proofErr w:type="spellEnd"/>
      <w:r>
        <w:rPr>
          <w:rFonts w:ascii="Cambria" w:hAnsi="Cambria"/>
          <w:noProof w:val="0"/>
          <w:color w:val="000000" w:themeColor="text1"/>
          <w:szCs w:val="24"/>
        </w:rPr>
        <w:t xml:space="preserve"> 2020</w:t>
      </w:r>
      <w:r w:rsidRPr="000C153E">
        <w:rPr>
          <w:rFonts w:ascii="Cambria" w:hAnsi="Cambria"/>
          <w:noProof w:val="0"/>
          <w:color w:val="000000" w:themeColor="text1"/>
          <w:szCs w:val="24"/>
        </w:rPr>
        <w:t>;</w:t>
      </w:r>
    </w:p>
    <w:p w14:paraId="67136EE0" w14:textId="77777777" w:rsidR="00BB17F3" w:rsidRPr="000C153E" w:rsidRDefault="00BB17F3" w:rsidP="00BB17F3">
      <w:pPr>
        <w:pStyle w:val="-LettreTexteGEDA"/>
        <w:numPr>
          <w:ilvl w:val="0"/>
          <w:numId w:val="4"/>
        </w:numPr>
        <w:tabs>
          <w:tab w:val="num" w:pos="284"/>
        </w:tabs>
        <w:ind w:left="284" w:hanging="284"/>
        <w:rPr>
          <w:rFonts w:ascii="Cambria" w:hAnsi="Cambria"/>
          <w:noProof w:val="0"/>
          <w:color w:val="000000" w:themeColor="text1"/>
          <w:szCs w:val="24"/>
        </w:rPr>
      </w:pPr>
      <w:r w:rsidRPr="000C153E">
        <w:rPr>
          <w:rFonts w:ascii="Cambria" w:hAnsi="Cambria"/>
          <w:noProof w:val="0"/>
          <w:color w:val="000000" w:themeColor="text1"/>
          <w:szCs w:val="24"/>
        </w:rPr>
        <w:t>un</w:t>
      </w:r>
      <w:r>
        <w:rPr>
          <w:rFonts w:ascii="Cambria" w:hAnsi="Cambria"/>
          <w:noProof w:val="0"/>
          <w:color w:val="000000" w:themeColor="text1"/>
          <w:szCs w:val="24"/>
        </w:rPr>
        <w:t>e</w:t>
      </w:r>
      <w:r w:rsidRPr="000C153E">
        <w:rPr>
          <w:rFonts w:ascii="Cambria" w:hAnsi="Cambria"/>
          <w:noProof w:val="0"/>
          <w:color w:val="000000" w:themeColor="text1"/>
          <w:szCs w:val="24"/>
        </w:rPr>
        <w:t xml:space="preserve"> </w:t>
      </w:r>
      <w:r>
        <w:rPr>
          <w:rFonts w:ascii="Cambria" w:hAnsi="Cambria"/>
          <w:noProof w:val="0"/>
          <w:color w:val="000000" w:themeColor="text1"/>
          <w:szCs w:val="24"/>
        </w:rPr>
        <w:t>subvention d’un montant de 793 141 </w:t>
      </w:r>
      <w:proofErr w:type="spellStart"/>
      <w:r>
        <w:rPr>
          <w:rFonts w:ascii="Cambria" w:hAnsi="Cambria"/>
          <w:noProof w:val="0"/>
          <w:color w:val="000000" w:themeColor="text1"/>
          <w:szCs w:val="24"/>
        </w:rPr>
        <w:t>Fcfp</w:t>
      </w:r>
      <w:proofErr w:type="spellEnd"/>
      <w:r w:rsidRPr="000C153E">
        <w:rPr>
          <w:rFonts w:ascii="Cambria" w:hAnsi="Cambria"/>
          <w:noProof w:val="0"/>
          <w:color w:val="000000" w:themeColor="text1"/>
          <w:szCs w:val="24"/>
        </w:rPr>
        <w:t xml:space="preserve"> en faveur de l’association </w:t>
      </w:r>
      <w:r w:rsidRPr="000C153E">
        <w:rPr>
          <w:rFonts w:ascii="Cambria" w:hAnsi="Cambria"/>
          <w:color w:val="000000" w:themeColor="text1"/>
          <w:szCs w:val="24"/>
        </w:rPr>
        <w:t>F</w:t>
      </w:r>
      <w:r>
        <w:rPr>
          <w:rFonts w:ascii="Cambria" w:hAnsi="Cambria"/>
          <w:color w:val="000000" w:themeColor="text1"/>
          <w:szCs w:val="24"/>
        </w:rPr>
        <w:t>ei</w:t>
      </w:r>
      <w:r w:rsidRPr="000C153E">
        <w:rPr>
          <w:rFonts w:ascii="Cambria" w:hAnsi="Cambria"/>
          <w:color w:val="000000" w:themeColor="text1"/>
          <w:szCs w:val="24"/>
        </w:rPr>
        <w:t>-P</w:t>
      </w:r>
      <w:r>
        <w:rPr>
          <w:rFonts w:ascii="Cambria" w:hAnsi="Cambria"/>
          <w:color w:val="000000" w:themeColor="text1"/>
          <w:szCs w:val="24"/>
        </w:rPr>
        <w:t>i</w:t>
      </w:r>
      <w:r w:rsidRPr="000C153E">
        <w:rPr>
          <w:rFonts w:ascii="Cambria" w:hAnsi="Cambria"/>
          <w:color w:val="000000" w:themeColor="text1"/>
          <w:szCs w:val="24"/>
        </w:rPr>
        <w:t xml:space="preserve"> 1923</w:t>
      </w:r>
      <w:r w:rsidRPr="000C153E">
        <w:rPr>
          <w:rFonts w:ascii="Cambria" w:hAnsi="Cambria"/>
          <w:noProof w:val="0"/>
          <w:color w:val="000000" w:themeColor="text1"/>
          <w:szCs w:val="24"/>
        </w:rPr>
        <w:t xml:space="preserve"> pour </w:t>
      </w:r>
      <w:r w:rsidRPr="000C153E">
        <w:rPr>
          <w:rFonts w:ascii="Cambria" w:hAnsi="Cambria"/>
          <w:color w:val="000000" w:themeColor="text1"/>
          <w:szCs w:val="24"/>
        </w:rPr>
        <w:t>la mise en œuvre d’ateliers d’initiation au BMX au sein de quatiers prioritaires</w:t>
      </w:r>
      <w:r w:rsidRPr="000C153E">
        <w:rPr>
          <w:rFonts w:ascii="Cambria" w:hAnsi="Cambria"/>
          <w:noProof w:val="0"/>
          <w:color w:val="000000" w:themeColor="text1"/>
          <w:szCs w:val="24"/>
        </w:rPr>
        <w:t>;</w:t>
      </w:r>
    </w:p>
    <w:p w14:paraId="6F918853" w14:textId="77777777" w:rsidR="00BB17F3" w:rsidRPr="000C153E" w:rsidRDefault="00BB17F3" w:rsidP="00BB17F3">
      <w:pPr>
        <w:pStyle w:val="-LettreTexteGEDA"/>
        <w:numPr>
          <w:ilvl w:val="0"/>
          <w:numId w:val="4"/>
        </w:numPr>
        <w:tabs>
          <w:tab w:val="num" w:pos="284"/>
        </w:tabs>
        <w:ind w:left="284" w:hanging="284"/>
        <w:rPr>
          <w:rFonts w:ascii="Cambria" w:hAnsi="Cambria"/>
          <w:noProof w:val="0"/>
          <w:color w:val="000000" w:themeColor="text1"/>
          <w:szCs w:val="24"/>
        </w:rPr>
      </w:pPr>
      <w:r w:rsidRPr="000C153E">
        <w:rPr>
          <w:rFonts w:ascii="Cambria" w:hAnsi="Cambria"/>
          <w:noProof w:val="0"/>
          <w:color w:val="000000" w:themeColor="text1"/>
          <w:szCs w:val="24"/>
        </w:rPr>
        <w:lastRenderedPageBreak/>
        <w:t>un</w:t>
      </w:r>
      <w:r>
        <w:rPr>
          <w:rFonts w:ascii="Cambria" w:hAnsi="Cambria"/>
          <w:noProof w:val="0"/>
          <w:color w:val="000000" w:themeColor="text1"/>
          <w:szCs w:val="24"/>
        </w:rPr>
        <w:t>e</w:t>
      </w:r>
      <w:r w:rsidRPr="000C153E">
        <w:rPr>
          <w:rFonts w:ascii="Cambria" w:hAnsi="Cambria"/>
          <w:noProof w:val="0"/>
          <w:color w:val="000000" w:themeColor="text1"/>
          <w:szCs w:val="24"/>
        </w:rPr>
        <w:t xml:space="preserve"> </w:t>
      </w:r>
      <w:r>
        <w:rPr>
          <w:rFonts w:ascii="Cambria" w:hAnsi="Cambria"/>
          <w:noProof w:val="0"/>
          <w:color w:val="000000" w:themeColor="text1"/>
          <w:szCs w:val="24"/>
        </w:rPr>
        <w:t>subvention d’un montant de 232 105 </w:t>
      </w:r>
      <w:proofErr w:type="spellStart"/>
      <w:r>
        <w:rPr>
          <w:rFonts w:ascii="Cambria" w:hAnsi="Cambria"/>
          <w:noProof w:val="0"/>
          <w:color w:val="000000" w:themeColor="text1"/>
          <w:szCs w:val="24"/>
        </w:rPr>
        <w:t>Fcfp</w:t>
      </w:r>
      <w:proofErr w:type="spellEnd"/>
      <w:r w:rsidRPr="000C153E">
        <w:rPr>
          <w:rFonts w:ascii="Cambria" w:hAnsi="Cambria"/>
          <w:noProof w:val="0"/>
          <w:color w:val="000000" w:themeColor="text1"/>
          <w:szCs w:val="24"/>
        </w:rPr>
        <w:t xml:space="preserve"> en faveur de l’association sportive du collège public de </w:t>
      </w:r>
      <w:proofErr w:type="spellStart"/>
      <w:r w:rsidRPr="000C153E">
        <w:rPr>
          <w:rFonts w:ascii="Cambria" w:hAnsi="Cambria"/>
          <w:noProof w:val="0"/>
          <w:color w:val="000000" w:themeColor="text1"/>
          <w:szCs w:val="24"/>
        </w:rPr>
        <w:t>Atuona</w:t>
      </w:r>
      <w:proofErr w:type="spellEnd"/>
      <w:r w:rsidRPr="000C153E">
        <w:rPr>
          <w:rFonts w:ascii="Cambria" w:hAnsi="Cambria"/>
          <w:noProof w:val="0"/>
          <w:color w:val="000000" w:themeColor="text1"/>
          <w:szCs w:val="24"/>
        </w:rPr>
        <w:t xml:space="preserve"> pour la mise en œuvre du projet intitulé « Te Tau </w:t>
      </w:r>
      <w:proofErr w:type="spellStart"/>
      <w:r w:rsidRPr="000C153E">
        <w:rPr>
          <w:rFonts w:ascii="Cambria" w:hAnsi="Cambria"/>
          <w:noProof w:val="0"/>
          <w:color w:val="000000" w:themeColor="text1"/>
          <w:szCs w:val="24"/>
        </w:rPr>
        <w:t>Vaetukia</w:t>
      </w:r>
      <w:proofErr w:type="spellEnd"/>
      <w:r w:rsidRPr="000C153E">
        <w:rPr>
          <w:rFonts w:ascii="Cambria" w:hAnsi="Cambria"/>
          <w:noProof w:val="0"/>
          <w:color w:val="000000" w:themeColor="text1"/>
          <w:szCs w:val="24"/>
        </w:rPr>
        <w:t xml:space="preserve"> o te Fenua ».</w:t>
      </w:r>
    </w:p>
    <w:p w14:paraId="3D27C925" w14:textId="77777777" w:rsidR="00BB17F3" w:rsidRPr="00B220EC" w:rsidRDefault="00BB17F3" w:rsidP="00BB17F3">
      <w:pPr>
        <w:pStyle w:val="-LettreTexteGEDA"/>
        <w:rPr>
          <w:rFonts w:ascii="Cambria" w:hAnsi="Cambria"/>
          <w:b/>
          <w:bCs/>
          <w:noProof w:val="0"/>
          <w:szCs w:val="24"/>
        </w:rPr>
      </w:pPr>
    </w:p>
    <w:p w14:paraId="3A5C66FC" w14:textId="77777777" w:rsidR="00BB17F3" w:rsidRDefault="00BB17F3" w:rsidP="00BB17F3">
      <w:pPr>
        <w:pStyle w:val="-LettreTexteGEDA"/>
        <w:ind w:firstLine="0"/>
        <w:rPr>
          <w:rFonts w:ascii="Cambria" w:hAnsi="Cambria"/>
          <w:b/>
          <w:bCs/>
          <w:noProof w:val="0"/>
          <w:szCs w:val="24"/>
        </w:rPr>
      </w:pPr>
      <w:r>
        <w:rPr>
          <w:rFonts w:ascii="Cambria" w:hAnsi="Cambria"/>
          <w:b/>
          <w:bCs/>
          <w:noProof w:val="0"/>
          <w:szCs w:val="24"/>
        </w:rPr>
        <w:t>Mise en œuvre des formalités électroniques et</w:t>
      </w:r>
      <w:r w:rsidRPr="00B220EC">
        <w:rPr>
          <w:rFonts w:ascii="Cambria" w:hAnsi="Cambria"/>
          <w:b/>
          <w:bCs/>
          <w:noProof w:val="0"/>
          <w:szCs w:val="24"/>
        </w:rPr>
        <w:t xml:space="preserve"> coffre-fort numérique</w:t>
      </w:r>
    </w:p>
    <w:p w14:paraId="05E7A386" w14:textId="77777777" w:rsidR="00BB17F3" w:rsidRPr="00B220EC" w:rsidRDefault="00BB17F3" w:rsidP="00BB17F3">
      <w:pPr>
        <w:pStyle w:val="-LettreTexteGEDA"/>
        <w:ind w:firstLine="0"/>
        <w:rPr>
          <w:rFonts w:ascii="Cambria" w:hAnsi="Cambria"/>
          <w:b/>
          <w:bCs/>
          <w:noProof w:val="0"/>
          <w:szCs w:val="24"/>
        </w:rPr>
      </w:pPr>
    </w:p>
    <w:p w14:paraId="2278F438" w14:textId="77777777" w:rsidR="00BB17F3" w:rsidRPr="00B220EC" w:rsidRDefault="00BB17F3" w:rsidP="00BB17F3">
      <w:pPr>
        <w:pStyle w:val="-LettreTexteGEDA"/>
        <w:ind w:firstLine="0"/>
        <w:rPr>
          <w:rFonts w:ascii="Cambria" w:hAnsi="Cambria"/>
          <w:noProof w:val="0"/>
          <w:szCs w:val="24"/>
        </w:rPr>
      </w:pPr>
      <w:r w:rsidRPr="00B220EC">
        <w:rPr>
          <w:rFonts w:ascii="Cambria" w:hAnsi="Cambria"/>
          <w:noProof w:val="0"/>
          <w:szCs w:val="24"/>
        </w:rPr>
        <w:t xml:space="preserve">Après trois années de travail collaboratif avec le secteur privé, la Polynésie française dispose désormais d’un corpus législatif et réglementaire complet pour permettre la mise en œuvre des formalités contractuelles par voie électronique. </w:t>
      </w:r>
    </w:p>
    <w:p w14:paraId="153DC616" w14:textId="77777777" w:rsidR="00BB17F3" w:rsidRPr="00B220EC" w:rsidRDefault="00BB17F3" w:rsidP="00BB17F3">
      <w:pPr>
        <w:pStyle w:val="-LettreTexteGEDA"/>
        <w:ind w:firstLine="0"/>
        <w:rPr>
          <w:rFonts w:ascii="Cambria" w:hAnsi="Cambria"/>
          <w:noProof w:val="0"/>
          <w:szCs w:val="24"/>
        </w:rPr>
      </w:pPr>
      <w:r w:rsidRPr="00B220EC">
        <w:rPr>
          <w:rFonts w:ascii="Cambria" w:hAnsi="Cambria"/>
          <w:noProof w:val="0"/>
          <w:szCs w:val="24"/>
        </w:rPr>
        <w:t xml:space="preserve">Au terme d’un important travail mené par les services du Pays, comme la Direction générale de l’économie numérique (DGEN) et du secrétariat général du gouvernement (SGG), c’est l’ensemble du socle juridique qui vient d’être adopté par l’exécutif. </w:t>
      </w:r>
    </w:p>
    <w:p w14:paraId="7DE5073D" w14:textId="77777777" w:rsidR="00BB17F3" w:rsidRPr="00B220EC" w:rsidRDefault="00BB17F3" w:rsidP="00BB17F3">
      <w:pPr>
        <w:pStyle w:val="-LettreTexteGEDA"/>
        <w:ind w:firstLine="0"/>
        <w:rPr>
          <w:rFonts w:ascii="Cambria" w:hAnsi="Cambria"/>
          <w:noProof w:val="0"/>
          <w:szCs w:val="24"/>
        </w:rPr>
      </w:pPr>
      <w:r w:rsidRPr="00B220EC">
        <w:rPr>
          <w:rFonts w:ascii="Cambria" w:hAnsi="Cambria"/>
          <w:noProof w:val="0"/>
          <w:szCs w:val="24"/>
        </w:rPr>
        <w:t xml:space="preserve">Si les acteurs du secteur numérique et de l’économie réclamaient sa mise en place, le gouvernement s’était engagé à mener ce chantier d’envergure pour qu’enfin la signature électronique puisse venir agrémenter les relations contractuelles des entreprises entre-elles et avec leurs clients. </w:t>
      </w:r>
    </w:p>
    <w:p w14:paraId="5653B9C7" w14:textId="77777777" w:rsidR="00BB17F3" w:rsidRPr="00B220EC" w:rsidRDefault="00BB17F3" w:rsidP="00BB17F3">
      <w:pPr>
        <w:pStyle w:val="-LettreTexteGEDA"/>
        <w:ind w:firstLine="0"/>
        <w:rPr>
          <w:rFonts w:ascii="Cambria" w:hAnsi="Cambria"/>
          <w:noProof w:val="0"/>
          <w:szCs w:val="24"/>
        </w:rPr>
      </w:pPr>
      <w:r w:rsidRPr="00B220EC">
        <w:rPr>
          <w:rFonts w:ascii="Cambria" w:hAnsi="Cambria"/>
          <w:noProof w:val="0"/>
          <w:szCs w:val="24"/>
        </w:rPr>
        <w:t>La Polynésie française entre ainsi dans une nouvelle ère de la transformation digitale. Grâce à ce nouveau cadre réglementaire, la signature électronique sera un critère important qui élèvera les entreprises au rang d’entreprises modernes.</w:t>
      </w:r>
    </w:p>
    <w:p w14:paraId="650AE2A1" w14:textId="77777777" w:rsidR="00BB17F3" w:rsidRDefault="00BB17F3" w:rsidP="00BB17F3">
      <w:pPr>
        <w:pStyle w:val="-LettreTexteGEDA"/>
        <w:ind w:firstLine="0"/>
        <w:rPr>
          <w:rFonts w:ascii="Cambria" w:hAnsi="Cambria"/>
          <w:noProof w:val="0"/>
          <w:szCs w:val="24"/>
        </w:rPr>
      </w:pPr>
      <w:r w:rsidRPr="00B220EC">
        <w:rPr>
          <w:rFonts w:ascii="Cambria" w:hAnsi="Cambria"/>
          <w:noProof w:val="0"/>
          <w:szCs w:val="24"/>
        </w:rPr>
        <w:t xml:space="preserve">Si désormais le cadre juridique est pleinement opérationnel, il appartient désormais aux entreprises d’adopter les solutions techniques fiables et sécurisées, reconnues pour leur interopérabilité et leur inviolabilité.  </w:t>
      </w:r>
    </w:p>
    <w:p w14:paraId="6DA5246F" w14:textId="77777777" w:rsidR="00BB17F3" w:rsidRDefault="00BB17F3" w:rsidP="00BB17F3">
      <w:pPr>
        <w:pStyle w:val="-LettreTexteGEDA"/>
        <w:ind w:firstLine="0"/>
        <w:rPr>
          <w:rFonts w:ascii="Cambria" w:hAnsi="Cambria"/>
          <w:noProof w:val="0"/>
          <w:szCs w:val="24"/>
        </w:rPr>
      </w:pPr>
    </w:p>
    <w:p w14:paraId="7373B061" w14:textId="77777777" w:rsidR="00BB17F3" w:rsidRPr="00522EA0" w:rsidRDefault="00BB17F3" w:rsidP="00BB17F3">
      <w:pPr>
        <w:pStyle w:val="-LettreTexteGEDA"/>
        <w:ind w:firstLine="0"/>
        <w:rPr>
          <w:rFonts w:ascii="Cambria" w:hAnsi="Cambria"/>
          <w:b/>
        </w:rPr>
      </w:pPr>
      <w:r w:rsidRPr="00522EA0">
        <w:rPr>
          <w:rFonts w:ascii="Cambria" w:hAnsi="Cambria"/>
          <w:b/>
        </w:rPr>
        <w:t>Duo Days de l’administration</w:t>
      </w:r>
    </w:p>
    <w:p w14:paraId="38427565" w14:textId="77777777" w:rsidR="00BB17F3" w:rsidRPr="00522EA0" w:rsidRDefault="00BB17F3" w:rsidP="00BB17F3">
      <w:pPr>
        <w:pStyle w:val="-LettreTexteGEDA"/>
        <w:ind w:firstLine="0"/>
        <w:rPr>
          <w:rFonts w:ascii="Cambria" w:hAnsi="Cambria"/>
        </w:rPr>
      </w:pPr>
    </w:p>
    <w:p w14:paraId="689E7CC7" w14:textId="77777777" w:rsidR="00BB17F3" w:rsidRPr="00522EA0" w:rsidRDefault="00BB17F3" w:rsidP="00BB17F3">
      <w:pPr>
        <w:jc w:val="both"/>
        <w:rPr>
          <w:rFonts w:ascii="Cambria" w:hAnsi="Cambria"/>
          <w:szCs w:val="20"/>
        </w:rPr>
      </w:pPr>
      <w:r w:rsidRPr="00522EA0">
        <w:rPr>
          <w:rFonts w:ascii="Cambria" w:hAnsi="Cambria"/>
          <w:szCs w:val="20"/>
        </w:rPr>
        <w:t xml:space="preserve">L’organisation des Duo </w:t>
      </w:r>
      <w:proofErr w:type="spellStart"/>
      <w:r w:rsidRPr="00522EA0">
        <w:rPr>
          <w:rFonts w:ascii="Cambria" w:hAnsi="Cambria"/>
          <w:szCs w:val="20"/>
        </w:rPr>
        <w:t>Days</w:t>
      </w:r>
      <w:proofErr w:type="spellEnd"/>
      <w:r w:rsidRPr="00522EA0">
        <w:rPr>
          <w:rFonts w:ascii="Cambria" w:hAnsi="Cambria"/>
          <w:szCs w:val="20"/>
        </w:rPr>
        <w:t xml:space="preserve"> s’inscrit dans la continuité de la feuille de route annoncée par le gouvernement dès 2014 pour moderniser l’administration et pour une réelle égalité des chances pour les personnes en situation de handicap.</w:t>
      </w:r>
    </w:p>
    <w:p w14:paraId="2325DD60" w14:textId="77777777" w:rsidR="00BB17F3" w:rsidRPr="00522EA0" w:rsidRDefault="00BB17F3" w:rsidP="00BB17F3">
      <w:pPr>
        <w:jc w:val="both"/>
        <w:rPr>
          <w:rFonts w:ascii="Cambria" w:hAnsi="Cambria"/>
          <w:szCs w:val="20"/>
        </w:rPr>
      </w:pPr>
    </w:p>
    <w:p w14:paraId="7EAA61BF" w14:textId="77777777" w:rsidR="00BB17F3" w:rsidRPr="00522EA0" w:rsidRDefault="00BB17F3" w:rsidP="00BB17F3">
      <w:pPr>
        <w:jc w:val="both"/>
        <w:rPr>
          <w:rFonts w:ascii="Cambria" w:hAnsi="Cambria"/>
          <w:szCs w:val="20"/>
        </w:rPr>
      </w:pPr>
      <w:r w:rsidRPr="00522EA0">
        <w:rPr>
          <w:rFonts w:ascii="Cambria" w:hAnsi="Cambria"/>
          <w:szCs w:val="20"/>
        </w:rPr>
        <w:t>Une convention triennale doit être signée prochainement avec la fédération Te Niu o te Hum, à l’occasion du 3 décembre, Journée internationale pour la promotion des droits des personnes en situation de handicap, afin de renouveler l’engagement du gouvernement à additionner l’ensemble des politiques publiques pour promouvoir la pleine participation de tous les citoyens à la vie en société.</w:t>
      </w:r>
    </w:p>
    <w:p w14:paraId="6974CD3A" w14:textId="77777777" w:rsidR="00BB17F3" w:rsidRPr="00522EA0" w:rsidRDefault="00BB17F3" w:rsidP="00BB17F3">
      <w:pPr>
        <w:jc w:val="both"/>
        <w:rPr>
          <w:rFonts w:ascii="Cambria" w:hAnsi="Cambria"/>
          <w:szCs w:val="20"/>
        </w:rPr>
      </w:pPr>
    </w:p>
    <w:p w14:paraId="40F21930" w14:textId="77777777" w:rsidR="00BB17F3" w:rsidRPr="00522EA0" w:rsidRDefault="00BB17F3" w:rsidP="00BB17F3">
      <w:pPr>
        <w:jc w:val="both"/>
        <w:rPr>
          <w:rFonts w:ascii="Cambria" w:hAnsi="Cambria"/>
          <w:szCs w:val="20"/>
        </w:rPr>
      </w:pPr>
      <w:r w:rsidRPr="00522EA0">
        <w:rPr>
          <w:rFonts w:ascii="Cambria" w:hAnsi="Cambria"/>
          <w:szCs w:val="20"/>
        </w:rPr>
        <w:t xml:space="preserve">Cette convention prévoit notamment d’engager à travers la DGRH (Direction générale des ressources humaines), les services du Pays, dans l’organisation annuelle des « Duo </w:t>
      </w:r>
      <w:proofErr w:type="spellStart"/>
      <w:r w:rsidRPr="00522EA0">
        <w:rPr>
          <w:rFonts w:ascii="Cambria" w:hAnsi="Cambria"/>
          <w:szCs w:val="20"/>
        </w:rPr>
        <w:t>Days</w:t>
      </w:r>
      <w:proofErr w:type="spellEnd"/>
      <w:r w:rsidRPr="00522EA0">
        <w:rPr>
          <w:rFonts w:ascii="Cambria" w:hAnsi="Cambria"/>
          <w:szCs w:val="20"/>
        </w:rPr>
        <w:t> de l’administration ».</w:t>
      </w:r>
    </w:p>
    <w:p w14:paraId="5B18E937" w14:textId="77777777" w:rsidR="00BB17F3" w:rsidRPr="00522EA0" w:rsidRDefault="00BB17F3" w:rsidP="00BB17F3">
      <w:pPr>
        <w:rPr>
          <w:rFonts w:ascii="Cambria" w:hAnsi="Cambria"/>
          <w:szCs w:val="20"/>
        </w:rPr>
      </w:pPr>
    </w:p>
    <w:p w14:paraId="65B7C5BC" w14:textId="77777777" w:rsidR="00BB17F3" w:rsidRPr="00522EA0" w:rsidRDefault="00BB17F3" w:rsidP="00BB17F3">
      <w:pPr>
        <w:jc w:val="both"/>
        <w:rPr>
          <w:rFonts w:ascii="Cambria" w:hAnsi="Cambria"/>
          <w:szCs w:val="20"/>
        </w:rPr>
      </w:pPr>
      <w:r w:rsidRPr="00522EA0">
        <w:rPr>
          <w:rFonts w:ascii="Cambria" w:hAnsi="Cambria"/>
          <w:szCs w:val="20"/>
        </w:rPr>
        <w:t xml:space="preserve">Les « Duo </w:t>
      </w:r>
      <w:proofErr w:type="spellStart"/>
      <w:r w:rsidRPr="00522EA0">
        <w:rPr>
          <w:rFonts w:ascii="Cambria" w:hAnsi="Cambria"/>
          <w:szCs w:val="20"/>
        </w:rPr>
        <w:t>Days</w:t>
      </w:r>
      <w:proofErr w:type="spellEnd"/>
      <w:r w:rsidRPr="00522EA0">
        <w:rPr>
          <w:rFonts w:ascii="Cambria" w:hAnsi="Cambria"/>
          <w:szCs w:val="20"/>
        </w:rPr>
        <w:t xml:space="preserve"> » sont des matinées ou journées d’échanges et d’observation permettant à des travailleurs reconnus handicapés de découvrir un métier qui s’inscrit dans le cadre de leur projet professionnel. Ces moments privilégiés permettront aux équipes et services du Pays de se familiariser avec le monde du handicap tout en découvrant des talents et peut être de futurs collaborateurs. </w:t>
      </w:r>
    </w:p>
    <w:p w14:paraId="5629A692" w14:textId="77777777" w:rsidR="00BB17F3" w:rsidRPr="00522EA0" w:rsidRDefault="00BB17F3" w:rsidP="00BB17F3">
      <w:pPr>
        <w:jc w:val="both"/>
        <w:rPr>
          <w:rFonts w:ascii="Cambria" w:hAnsi="Cambria"/>
          <w:szCs w:val="20"/>
        </w:rPr>
      </w:pPr>
    </w:p>
    <w:p w14:paraId="5FD743D4" w14:textId="6052110D" w:rsidR="00BB17F3" w:rsidRPr="00BB17F3" w:rsidRDefault="00BB17F3" w:rsidP="00BB17F3">
      <w:pPr>
        <w:pStyle w:val="-LettreTexteGEDA"/>
        <w:spacing w:before="0"/>
        <w:ind w:firstLine="0"/>
        <w:rPr>
          <w:rFonts w:ascii="Cambria" w:hAnsi="Cambria"/>
          <w:noProof w:val="0"/>
        </w:rPr>
      </w:pPr>
      <w:r w:rsidRPr="00522EA0">
        <w:rPr>
          <w:rFonts w:ascii="Cambria" w:hAnsi="Cambria"/>
        </w:rPr>
        <w:lastRenderedPageBreak/>
        <w:t>Le lancement de la première édition se fera en 2021, selon le calendrier national et européen, cette initiative venant de l’Union européenne.</w:t>
      </w:r>
    </w:p>
    <w:p w14:paraId="59A478F2" w14:textId="77777777" w:rsidR="0031295B" w:rsidRDefault="0031295B" w:rsidP="009B7485">
      <w:pPr>
        <w:jc w:val="both"/>
        <w:rPr>
          <w:rFonts w:ascii="Cambria" w:hAnsi="Cambria"/>
          <w:lang w:eastAsia="fr-FR"/>
        </w:rPr>
      </w:pPr>
    </w:p>
    <w:p w14:paraId="3C33B745" w14:textId="77777777" w:rsidR="009B7485" w:rsidRPr="009B7485" w:rsidRDefault="009B7485" w:rsidP="009B7485">
      <w:pPr>
        <w:jc w:val="both"/>
        <w:rPr>
          <w:rFonts w:ascii="Cambria" w:hAnsi="Cambria"/>
          <w:b/>
          <w:bCs/>
          <w:lang w:eastAsia="fr-FR"/>
        </w:rPr>
      </w:pPr>
    </w:p>
    <w:p w14:paraId="270A9FC5" w14:textId="73D84A9E" w:rsidR="009B7485" w:rsidRPr="009B7485" w:rsidRDefault="009B7485" w:rsidP="009B7485">
      <w:pPr>
        <w:jc w:val="both"/>
        <w:rPr>
          <w:rFonts w:ascii="Cambria" w:hAnsi="Cambria"/>
          <w:b/>
          <w:bCs/>
          <w:lang w:eastAsia="fr-FR"/>
        </w:rPr>
      </w:pPr>
      <w:r w:rsidRPr="009B7485">
        <w:rPr>
          <w:rFonts w:ascii="Cambria" w:hAnsi="Cambria"/>
          <w:b/>
          <w:bCs/>
          <w:lang w:eastAsia="fr-FR"/>
        </w:rPr>
        <w:t xml:space="preserve">Subventions de fonctionnement en faveur </w:t>
      </w:r>
      <w:r w:rsidR="001A6BFD">
        <w:rPr>
          <w:rFonts w:ascii="Cambria" w:hAnsi="Cambria"/>
          <w:b/>
          <w:bCs/>
          <w:lang w:eastAsia="fr-FR"/>
        </w:rPr>
        <w:t>d’</w:t>
      </w:r>
      <w:r w:rsidRPr="009B7485">
        <w:rPr>
          <w:rFonts w:ascii="Cambria" w:hAnsi="Cambria"/>
          <w:b/>
          <w:bCs/>
          <w:lang w:eastAsia="fr-FR"/>
        </w:rPr>
        <w:t xml:space="preserve">établissements publics d’enseignement de la Polynésie française </w:t>
      </w:r>
    </w:p>
    <w:p w14:paraId="5DA009E7" w14:textId="77777777" w:rsidR="009B7485" w:rsidRPr="009B7485" w:rsidRDefault="009B7485" w:rsidP="009B7485">
      <w:pPr>
        <w:jc w:val="both"/>
        <w:rPr>
          <w:rFonts w:ascii="Cambria" w:hAnsi="Cambria"/>
          <w:lang w:eastAsia="fr-FR"/>
        </w:rPr>
      </w:pPr>
    </w:p>
    <w:p w14:paraId="5FA8CBBE" w14:textId="5D059CD5" w:rsidR="009B7485" w:rsidRPr="009B7485" w:rsidRDefault="009B7485" w:rsidP="009B7485">
      <w:pPr>
        <w:jc w:val="both"/>
        <w:rPr>
          <w:rFonts w:ascii="Cambria" w:hAnsi="Cambria"/>
          <w:lang w:eastAsia="fr-FR"/>
        </w:rPr>
      </w:pPr>
      <w:r w:rsidRPr="009B7485">
        <w:rPr>
          <w:rFonts w:ascii="Cambria" w:hAnsi="Cambria"/>
          <w:lang w:eastAsia="fr-FR"/>
        </w:rPr>
        <w:t xml:space="preserve">Sur proposition de la ministre de l’Education, le Conseil des ministres a octroyé plusieurs subventions </w:t>
      </w:r>
      <w:r w:rsidR="001A6BFD">
        <w:rPr>
          <w:rFonts w:ascii="Cambria" w:hAnsi="Cambria"/>
          <w:lang w:eastAsia="fr-FR"/>
        </w:rPr>
        <w:t>de fonctionnement en faveur d’</w:t>
      </w:r>
      <w:r w:rsidRPr="009B7485">
        <w:rPr>
          <w:rFonts w:ascii="Cambria" w:hAnsi="Cambria"/>
          <w:lang w:eastAsia="fr-FR"/>
        </w:rPr>
        <w:t>établissements publics d’enseignement de la Polynésie française (EPEPF), selon les modalités suivantes :</w:t>
      </w:r>
    </w:p>
    <w:p w14:paraId="699D1648" w14:textId="77777777" w:rsidR="009B7485" w:rsidRPr="009B7485" w:rsidRDefault="009B7485" w:rsidP="009B7485">
      <w:pPr>
        <w:rPr>
          <w:rFonts w:ascii="Cambria" w:hAnsi="Cambria"/>
          <w:lang w:eastAsia="fr-FR"/>
        </w:rPr>
      </w:pPr>
    </w:p>
    <w:tbl>
      <w:tblPr>
        <w:tblStyle w:val="Grilledutableau"/>
        <w:tblW w:w="0" w:type="auto"/>
        <w:tblLook w:val="04A0" w:firstRow="1" w:lastRow="0" w:firstColumn="1" w:lastColumn="0" w:noHBand="0" w:noVBand="1"/>
      </w:tblPr>
      <w:tblGrid>
        <w:gridCol w:w="2781"/>
        <w:gridCol w:w="4659"/>
        <w:gridCol w:w="1622"/>
      </w:tblGrid>
      <w:tr w:rsidR="009B7485" w:rsidRPr="009B7485" w14:paraId="74F171E4" w14:textId="77777777" w:rsidTr="00C55E71">
        <w:trPr>
          <w:trHeight w:val="315"/>
        </w:trPr>
        <w:tc>
          <w:tcPr>
            <w:tcW w:w="3580" w:type="dxa"/>
            <w:vAlign w:val="center"/>
            <w:hideMark/>
          </w:tcPr>
          <w:p w14:paraId="4A6CB554" w14:textId="77777777" w:rsidR="009B7485" w:rsidRPr="009B7485" w:rsidRDefault="009B7485" w:rsidP="009B7485">
            <w:pPr>
              <w:jc w:val="center"/>
              <w:rPr>
                <w:rFonts w:ascii="Cambria" w:hAnsi="Cambria"/>
                <w:b/>
                <w:bCs/>
                <w:lang w:eastAsia="fr-FR"/>
              </w:rPr>
            </w:pPr>
            <w:r w:rsidRPr="009B7485">
              <w:rPr>
                <w:rFonts w:ascii="Cambria" w:hAnsi="Cambria"/>
                <w:b/>
                <w:bCs/>
                <w:lang w:eastAsia="fr-FR"/>
              </w:rPr>
              <w:t>Bénéficiaire</w:t>
            </w:r>
          </w:p>
        </w:tc>
        <w:tc>
          <w:tcPr>
            <w:tcW w:w="6720" w:type="dxa"/>
            <w:vAlign w:val="center"/>
            <w:hideMark/>
          </w:tcPr>
          <w:p w14:paraId="477523F1" w14:textId="77777777" w:rsidR="009B7485" w:rsidRPr="009B7485" w:rsidRDefault="009B7485" w:rsidP="009B7485">
            <w:pPr>
              <w:jc w:val="center"/>
              <w:rPr>
                <w:rFonts w:ascii="Cambria" w:hAnsi="Cambria"/>
                <w:b/>
                <w:bCs/>
                <w:lang w:eastAsia="fr-FR"/>
              </w:rPr>
            </w:pPr>
            <w:r w:rsidRPr="009B7485">
              <w:rPr>
                <w:rFonts w:ascii="Cambria" w:hAnsi="Cambria"/>
                <w:b/>
                <w:bCs/>
                <w:lang w:eastAsia="fr-FR"/>
              </w:rPr>
              <w:t>Objet de la subvention</w:t>
            </w:r>
          </w:p>
        </w:tc>
        <w:tc>
          <w:tcPr>
            <w:tcW w:w="1980" w:type="dxa"/>
            <w:vAlign w:val="center"/>
            <w:hideMark/>
          </w:tcPr>
          <w:p w14:paraId="73F0B8E0" w14:textId="77777777" w:rsidR="009B7485" w:rsidRPr="009B7485" w:rsidRDefault="009B7485" w:rsidP="009B7485">
            <w:pPr>
              <w:jc w:val="center"/>
              <w:rPr>
                <w:rFonts w:ascii="Cambria" w:hAnsi="Cambria"/>
                <w:b/>
                <w:bCs/>
                <w:lang w:eastAsia="fr-FR"/>
              </w:rPr>
            </w:pPr>
            <w:r w:rsidRPr="009B7485">
              <w:rPr>
                <w:rFonts w:ascii="Cambria" w:hAnsi="Cambria"/>
                <w:b/>
                <w:bCs/>
                <w:lang w:eastAsia="fr-FR"/>
              </w:rPr>
              <w:t xml:space="preserve">Montant en </w:t>
            </w:r>
            <w:proofErr w:type="spellStart"/>
            <w:r w:rsidRPr="009B7485">
              <w:rPr>
                <w:rFonts w:ascii="Cambria" w:hAnsi="Cambria"/>
                <w:b/>
                <w:bCs/>
                <w:lang w:eastAsia="fr-FR"/>
              </w:rPr>
              <w:t>Fcfp</w:t>
            </w:r>
            <w:proofErr w:type="spellEnd"/>
          </w:p>
        </w:tc>
      </w:tr>
      <w:tr w:rsidR="009B7485" w:rsidRPr="009B7485" w14:paraId="6C0558A6" w14:textId="77777777" w:rsidTr="00C55E71">
        <w:trPr>
          <w:trHeight w:val="630"/>
        </w:trPr>
        <w:tc>
          <w:tcPr>
            <w:tcW w:w="3580" w:type="dxa"/>
            <w:vAlign w:val="center"/>
            <w:hideMark/>
          </w:tcPr>
          <w:p w14:paraId="6DAB363B" w14:textId="77777777" w:rsidR="009B7485" w:rsidRPr="009B7485" w:rsidRDefault="009B7485" w:rsidP="009B7485">
            <w:pPr>
              <w:rPr>
                <w:rFonts w:ascii="Cambria" w:hAnsi="Cambria"/>
                <w:lang w:eastAsia="fr-FR"/>
              </w:rPr>
            </w:pPr>
            <w:r w:rsidRPr="009B7485">
              <w:rPr>
                <w:rFonts w:ascii="Cambria" w:hAnsi="Cambria"/>
                <w:lang w:eastAsia="fr-FR"/>
              </w:rPr>
              <w:t xml:space="preserve">Collège de </w:t>
            </w:r>
            <w:proofErr w:type="spellStart"/>
            <w:r w:rsidRPr="009B7485">
              <w:rPr>
                <w:rFonts w:ascii="Cambria" w:hAnsi="Cambria"/>
                <w:lang w:eastAsia="fr-FR"/>
              </w:rPr>
              <w:t>Makemo</w:t>
            </w:r>
            <w:proofErr w:type="spellEnd"/>
          </w:p>
        </w:tc>
        <w:tc>
          <w:tcPr>
            <w:tcW w:w="6720" w:type="dxa"/>
            <w:vAlign w:val="center"/>
            <w:hideMark/>
          </w:tcPr>
          <w:p w14:paraId="5C4C5FC1" w14:textId="77777777" w:rsidR="009B7485" w:rsidRPr="009B7485" w:rsidRDefault="009B7485" w:rsidP="009B7485">
            <w:pPr>
              <w:rPr>
                <w:rFonts w:ascii="Cambria" w:hAnsi="Cambria"/>
                <w:lang w:eastAsia="fr-FR"/>
              </w:rPr>
            </w:pPr>
            <w:r w:rsidRPr="009B7485">
              <w:rPr>
                <w:rFonts w:ascii="Cambria" w:hAnsi="Cambria"/>
                <w:lang w:eastAsia="fr-FR"/>
              </w:rPr>
              <w:t xml:space="preserve">Financement des actions menées </w:t>
            </w:r>
            <w:proofErr w:type="gramStart"/>
            <w:r w:rsidRPr="009B7485">
              <w:rPr>
                <w:rFonts w:ascii="Cambria" w:hAnsi="Cambria"/>
                <w:lang w:eastAsia="fr-FR"/>
              </w:rPr>
              <w:t>au titres</w:t>
            </w:r>
            <w:proofErr w:type="gramEnd"/>
            <w:r w:rsidRPr="009B7485">
              <w:rPr>
                <w:rFonts w:ascii="Cambria" w:hAnsi="Cambria"/>
                <w:lang w:eastAsia="fr-FR"/>
              </w:rPr>
              <w:t xml:space="preserve"> du fonds social collégiens et lycéen (FSCL)</w:t>
            </w:r>
          </w:p>
        </w:tc>
        <w:tc>
          <w:tcPr>
            <w:tcW w:w="1980" w:type="dxa"/>
            <w:vAlign w:val="center"/>
            <w:hideMark/>
          </w:tcPr>
          <w:p w14:paraId="790265B9" w14:textId="77777777" w:rsidR="009B7485" w:rsidRPr="009B7485" w:rsidRDefault="009B7485" w:rsidP="009B7485">
            <w:pPr>
              <w:jc w:val="right"/>
              <w:rPr>
                <w:rFonts w:ascii="Cambria" w:hAnsi="Cambria"/>
                <w:lang w:eastAsia="fr-FR"/>
              </w:rPr>
            </w:pPr>
            <w:r w:rsidRPr="009B7485">
              <w:rPr>
                <w:rFonts w:ascii="Cambria" w:hAnsi="Cambria"/>
                <w:lang w:eastAsia="fr-FR"/>
              </w:rPr>
              <w:t>400 000</w:t>
            </w:r>
          </w:p>
        </w:tc>
      </w:tr>
      <w:tr w:rsidR="009B7485" w:rsidRPr="009B7485" w14:paraId="2A28156B" w14:textId="77777777" w:rsidTr="00C55E71">
        <w:trPr>
          <w:trHeight w:val="630"/>
        </w:trPr>
        <w:tc>
          <w:tcPr>
            <w:tcW w:w="3580" w:type="dxa"/>
            <w:vAlign w:val="center"/>
            <w:hideMark/>
          </w:tcPr>
          <w:p w14:paraId="2426CE9E" w14:textId="77777777" w:rsidR="009B7485" w:rsidRPr="009B7485" w:rsidRDefault="009B7485" w:rsidP="009B7485">
            <w:pPr>
              <w:rPr>
                <w:rFonts w:ascii="Cambria" w:hAnsi="Cambria"/>
                <w:lang w:eastAsia="fr-FR"/>
              </w:rPr>
            </w:pPr>
            <w:r w:rsidRPr="009B7485">
              <w:rPr>
                <w:rFonts w:ascii="Cambria" w:hAnsi="Cambria"/>
                <w:lang w:eastAsia="fr-FR"/>
              </w:rPr>
              <w:t xml:space="preserve">Collège de </w:t>
            </w:r>
            <w:proofErr w:type="spellStart"/>
            <w:r w:rsidRPr="009B7485">
              <w:rPr>
                <w:rFonts w:ascii="Cambria" w:hAnsi="Cambria"/>
                <w:lang w:eastAsia="fr-FR"/>
              </w:rPr>
              <w:t>Mataura</w:t>
            </w:r>
            <w:proofErr w:type="spellEnd"/>
            <w:r w:rsidRPr="009B7485">
              <w:rPr>
                <w:rFonts w:ascii="Cambria" w:hAnsi="Cambria"/>
                <w:lang w:eastAsia="fr-FR"/>
              </w:rPr>
              <w:t xml:space="preserve"> - </w:t>
            </w:r>
            <w:proofErr w:type="spellStart"/>
            <w:r w:rsidRPr="009B7485">
              <w:rPr>
                <w:rFonts w:ascii="Cambria" w:hAnsi="Cambria"/>
                <w:lang w:eastAsia="fr-FR"/>
              </w:rPr>
              <w:t>Tubuai</w:t>
            </w:r>
            <w:proofErr w:type="spellEnd"/>
          </w:p>
        </w:tc>
        <w:tc>
          <w:tcPr>
            <w:tcW w:w="6720" w:type="dxa"/>
            <w:vAlign w:val="center"/>
            <w:hideMark/>
          </w:tcPr>
          <w:p w14:paraId="7FD1560A" w14:textId="77777777" w:rsidR="009B7485" w:rsidRPr="009B7485" w:rsidRDefault="009B7485" w:rsidP="009B7485">
            <w:pPr>
              <w:rPr>
                <w:rFonts w:ascii="Cambria" w:hAnsi="Cambria"/>
                <w:lang w:eastAsia="fr-FR"/>
              </w:rPr>
            </w:pPr>
            <w:r w:rsidRPr="009B7485">
              <w:rPr>
                <w:rFonts w:ascii="Cambria" w:hAnsi="Cambria"/>
                <w:lang w:eastAsia="fr-FR"/>
              </w:rPr>
              <w:t xml:space="preserve">Financement des actions menées </w:t>
            </w:r>
            <w:proofErr w:type="gramStart"/>
            <w:r w:rsidRPr="009B7485">
              <w:rPr>
                <w:rFonts w:ascii="Cambria" w:hAnsi="Cambria"/>
                <w:lang w:eastAsia="fr-FR"/>
              </w:rPr>
              <w:t>au titres</w:t>
            </w:r>
            <w:proofErr w:type="gramEnd"/>
            <w:r w:rsidRPr="009B7485">
              <w:rPr>
                <w:rFonts w:ascii="Cambria" w:hAnsi="Cambria"/>
                <w:lang w:eastAsia="fr-FR"/>
              </w:rPr>
              <w:t xml:space="preserve"> du fonds social collégiens et lycéen (FSCL)</w:t>
            </w:r>
          </w:p>
        </w:tc>
        <w:tc>
          <w:tcPr>
            <w:tcW w:w="1980" w:type="dxa"/>
            <w:vAlign w:val="center"/>
            <w:hideMark/>
          </w:tcPr>
          <w:p w14:paraId="1CDECB40" w14:textId="77777777" w:rsidR="009B7485" w:rsidRPr="009B7485" w:rsidRDefault="009B7485" w:rsidP="009B7485">
            <w:pPr>
              <w:jc w:val="right"/>
              <w:rPr>
                <w:rFonts w:ascii="Cambria" w:hAnsi="Cambria"/>
                <w:lang w:eastAsia="fr-FR"/>
              </w:rPr>
            </w:pPr>
            <w:r w:rsidRPr="009B7485">
              <w:rPr>
                <w:rFonts w:ascii="Cambria" w:hAnsi="Cambria"/>
                <w:lang w:eastAsia="fr-FR"/>
              </w:rPr>
              <w:t>400 000</w:t>
            </w:r>
          </w:p>
        </w:tc>
      </w:tr>
      <w:tr w:rsidR="009B7485" w:rsidRPr="009B7485" w14:paraId="3531531D" w14:textId="77777777" w:rsidTr="00C55E71">
        <w:trPr>
          <w:trHeight w:val="630"/>
        </w:trPr>
        <w:tc>
          <w:tcPr>
            <w:tcW w:w="3580" w:type="dxa"/>
            <w:vAlign w:val="center"/>
            <w:hideMark/>
          </w:tcPr>
          <w:p w14:paraId="5ECA6211" w14:textId="77777777" w:rsidR="009B7485" w:rsidRPr="009B7485" w:rsidRDefault="009B7485" w:rsidP="009B7485">
            <w:pPr>
              <w:rPr>
                <w:rFonts w:ascii="Cambria" w:hAnsi="Cambria"/>
                <w:lang w:eastAsia="fr-FR"/>
              </w:rPr>
            </w:pPr>
            <w:r w:rsidRPr="009B7485">
              <w:rPr>
                <w:rFonts w:ascii="Cambria" w:hAnsi="Cambria"/>
                <w:lang w:eastAsia="fr-FR"/>
              </w:rPr>
              <w:t xml:space="preserve">Collège </w:t>
            </w:r>
            <w:proofErr w:type="spellStart"/>
            <w:r w:rsidRPr="009B7485">
              <w:rPr>
                <w:rFonts w:ascii="Cambria" w:hAnsi="Cambria"/>
                <w:lang w:eastAsia="fr-FR"/>
              </w:rPr>
              <w:t>Teriitua</w:t>
            </w:r>
            <w:proofErr w:type="spellEnd"/>
            <w:r w:rsidRPr="009B7485">
              <w:rPr>
                <w:rFonts w:ascii="Cambria" w:hAnsi="Cambria"/>
                <w:lang w:eastAsia="fr-FR"/>
              </w:rPr>
              <w:t xml:space="preserve"> A </w:t>
            </w:r>
            <w:proofErr w:type="spellStart"/>
            <w:r w:rsidRPr="009B7485">
              <w:rPr>
                <w:rFonts w:ascii="Cambria" w:hAnsi="Cambria"/>
                <w:lang w:eastAsia="fr-FR"/>
              </w:rPr>
              <w:t>Teriierooiterai</w:t>
            </w:r>
            <w:proofErr w:type="spellEnd"/>
            <w:r w:rsidRPr="009B7485">
              <w:rPr>
                <w:rFonts w:ascii="Cambria" w:hAnsi="Cambria"/>
                <w:lang w:eastAsia="fr-FR"/>
              </w:rPr>
              <w:t xml:space="preserve"> de </w:t>
            </w:r>
            <w:proofErr w:type="spellStart"/>
            <w:r w:rsidRPr="009B7485">
              <w:rPr>
                <w:rFonts w:ascii="Cambria" w:hAnsi="Cambria"/>
                <w:lang w:eastAsia="fr-FR"/>
              </w:rPr>
              <w:t>Paea</w:t>
            </w:r>
            <w:proofErr w:type="spellEnd"/>
          </w:p>
        </w:tc>
        <w:tc>
          <w:tcPr>
            <w:tcW w:w="6720" w:type="dxa"/>
            <w:vAlign w:val="center"/>
            <w:hideMark/>
          </w:tcPr>
          <w:p w14:paraId="152108DC" w14:textId="77777777" w:rsidR="009B7485" w:rsidRPr="009B7485" w:rsidRDefault="009B7485" w:rsidP="009B7485">
            <w:pPr>
              <w:rPr>
                <w:rFonts w:ascii="Cambria" w:hAnsi="Cambria"/>
                <w:lang w:eastAsia="fr-FR"/>
              </w:rPr>
            </w:pPr>
            <w:r w:rsidRPr="009B7485">
              <w:rPr>
                <w:rFonts w:ascii="Cambria" w:hAnsi="Cambria"/>
                <w:lang w:eastAsia="fr-FR"/>
              </w:rPr>
              <w:t xml:space="preserve">Financement des actions menées </w:t>
            </w:r>
            <w:proofErr w:type="gramStart"/>
            <w:r w:rsidRPr="009B7485">
              <w:rPr>
                <w:rFonts w:ascii="Cambria" w:hAnsi="Cambria"/>
                <w:lang w:eastAsia="fr-FR"/>
              </w:rPr>
              <w:t>au titres</w:t>
            </w:r>
            <w:proofErr w:type="gramEnd"/>
            <w:r w:rsidRPr="009B7485">
              <w:rPr>
                <w:rFonts w:ascii="Cambria" w:hAnsi="Cambria"/>
                <w:lang w:eastAsia="fr-FR"/>
              </w:rPr>
              <w:t xml:space="preserve"> du fonds social collégiens et lycéen (FSCL)</w:t>
            </w:r>
          </w:p>
        </w:tc>
        <w:tc>
          <w:tcPr>
            <w:tcW w:w="1980" w:type="dxa"/>
            <w:vAlign w:val="center"/>
            <w:hideMark/>
          </w:tcPr>
          <w:p w14:paraId="2F5D9BDE" w14:textId="77777777" w:rsidR="009B7485" w:rsidRPr="009B7485" w:rsidRDefault="009B7485" w:rsidP="009B7485">
            <w:pPr>
              <w:jc w:val="right"/>
              <w:rPr>
                <w:rFonts w:ascii="Cambria" w:hAnsi="Cambria"/>
                <w:lang w:eastAsia="fr-FR"/>
              </w:rPr>
            </w:pPr>
            <w:r w:rsidRPr="009B7485">
              <w:rPr>
                <w:rFonts w:ascii="Cambria" w:hAnsi="Cambria"/>
                <w:lang w:eastAsia="fr-FR"/>
              </w:rPr>
              <w:t>400 000</w:t>
            </w:r>
          </w:p>
        </w:tc>
      </w:tr>
      <w:tr w:rsidR="009B7485" w:rsidRPr="009B7485" w14:paraId="79B3DADC" w14:textId="77777777" w:rsidTr="00C55E71">
        <w:trPr>
          <w:trHeight w:val="630"/>
        </w:trPr>
        <w:tc>
          <w:tcPr>
            <w:tcW w:w="3580" w:type="dxa"/>
            <w:vAlign w:val="center"/>
            <w:hideMark/>
          </w:tcPr>
          <w:p w14:paraId="404E539B" w14:textId="77777777" w:rsidR="009B7485" w:rsidRPr="009B7485" w:rsidRDefault="009B7485" w:rsidP="009B7485">
            <w:pPr>
              <w:rPr>
                <w:rFonts w:ascii="Cambria" w:hAnsi="Cambria"/>
                <w:lang w:eastAsia="fr-FR"/>
              </w:rPr>
            </w:pPr>
            <w:r w:rsidRPr="009B7485">
              <w:rPr>
                <w:rFonts w:ascii="Cambria" w:hAnsi="Cambria"/>
                <w:lang w:eastAsia="fr-FR"/>
              </w:rPr>
              <w:t>Collège de Papara</w:t>
            </w:r>
          </w:p>
        </w:tc>
        <w:tc>
          <w:tcPr>
            <w:tcW w:w="6720" w:type="dxa"/>
            <w:vAlign w:val="center"/>
            <w:hideMark/>
          </w:tcPr>
          <w:p w14:paraId="17EA3382" w14:textId="77777777" w:rsidR="009B7485" w:rsidRPr="009B7485" w:rsidRDefault="009B7485" w:rsidP="009B7485">
            <w:pPr>
              <w:rPr>
                <w:rFonts w:ascii="Cambria" w:hAnsi="Cambria"/>
                <w:lang w:eastAsia="fr-FR"/>
              </w:rPr>
            </w:pPr>
            <w:r w:rsidRPr="009B7485">
              <w:rPr>
                <w:rFonts w:ascii="Cambria" w:hAnsi="Cambria"/>
                <w:lang w:eastAsia="fr-FR"/>
              </w:rPr>
              <w:t xml:space="preserve">Financement des actions menées </w:t>
            </w:r>
            <w:proofErr w:type="gramStart"/>
            <w:r w:rsidRPr="009B7485">
              <w:rPr>
                <w:rFonts w:ascii="Cambria" w:hAnsi="Cambria"/>
                <w:lang w:eastAsia="fr-FR"/>
              </w:rPr>
              <w:t>au titres</w:t>
            </w:r>
            <w:proofErr w:type="gramEnd"/>
            <w:r w:rsidRPr="009B7485">
              <w:rPr>
                <w:rFonts w:ascii="Cambria" w:hAnsi="Cambria"/>
                <w:lang w:eastAsia="fr-FR"/>
              </w:rPr>
              <w:t xml:space="preserve"> du fonds social collégiens et lycéen (FSCL)</w:t>
            </w:r>
          </w:p>
        </w:tc>
        <w:tc>
          <w:tcPr>
            <w:tcW w:w="1980" w:type="dxa"/>
            <w:vAlign w:val="center"/>
            <w:hideMark/>
          </w:tcPr>
          <w:p w14:paraId="0EC6BFAC" w14:textId="77777777" w:rsidR="009B7485" w:rsidRPr="009B7485" w:rsidRDefault="009B7485" w:rsidP="009B7485">
            <w:pPr>
              <w:jc w:val="right"/>
              <w:rPr>
                <w:rFonts w:ascii="Cambria" w:hAnsi="Cambria"/>
                <w:lang w:eastAsia="fr-FR"/>
              </w:rPr>
            </w:pPr>
            <w:r w:rsidRPr="009B7485">
              <w:rPr>
                <w:rFonts w:ascii="Cambria" w:hAnsi="Cambria"/>
                <w:lang w:eastAsia="fr-FR"/>
              </w:rPr>
              <w:t>900 000</w:t>
            </w:r>
          </w:p>
        </w:tc>
      </w:tr>
      <w:tr w:rsidR="009B7485" w:rsidRPr="009B7485" w14:paraId="26C7F2FC" w14:textId="77777777" w:rsidTr="00C55E71">
        <w:trPr>
          <w:trHeight w:val="630"/>
        </w:trPr>
        <w:tc>
          <w:tcPr>
            <w:tcW w:w="3580" w:type="dxa"/>
            <w:vAlign w:val="center"/>
            <w:hideMark/>
          </w:tcPr>
          <w:p w14:paraId="03E01EAA" w14:textId="77777777" w:rsidR="009B7485" w:rsidRPr="009B7485" w:rsidRDefault="009B7485" w:rsidP="009B7485">
            <w:pPr>
              <w:rPr>
                <w:rFonts w:ascii="Cambria" w:hAnsi="Cambria"/>
                <w:lang w:eastAsia="fr-FR"/>
              </w:rPr>
            </w:pPr>
            <w:r w:rsidRPr="009B7485">
              <w:rPr>
                <w:rFonts w:ascii="Cambria" w:hAnsi="Cambria"/>
                <w:lang w:eastAsia="fr-FR"/>
              </w:rPr>
              <w:t xml:space="preserve">Collège de </w:t>
            </w:r>
            <w:proofErr w:type="spellStart"/>
            <w:r w:rsidRPr="009B7485">
              <w:rPr>
                <w:rFonts w:ascii="Cambria" w:hAnsi="Cambria"/>
                <w:lang w:eastAsia="fr-FR"/>
              </w:rPr>
              <w:t>Rangiroa</w:t>
            </w:r>
            <w:proofErr w:type="spellEnd"/>
          </w:p>
        </w:tc>
        <w:tc>
          <w:tcPr>
            <w:tcW w:w="6720" w:type="dxa"/>
            <w:vAlign w:val="center"/>
            <w:hideMark/>
          </w:tcPr>
          <w:p w14:paraId="4805133C" w14:textId="77777777" w:rsidR="009B7485" w:rsidRPr="009B7485" w:rsidRDefault="009B7485" w:rsidP="009B7485">
            <w:pPr>
              <w:rPr>
                <w:rFonts w:ascii="Cambria" w:hAnsi="Cambria"/>
                <w:lang w:eastAsia="fr-FR"/>
              </w:rPr>
            </w:pPr>
            <w:r w:rsidRPr="009B7485">
              <w:rPr>
                <w:rFonts w:ascii="Cambria" w:hAnsi="Cambria"/>
                <w:lang w:eastAsia="fr-FR"/>
              </w:rPr>
              <w:t xml:space="preserve">Financement des actions menées </w:t>
            </w:r>
            <w:proofErr w:type="gramStart"/>
            <w:r w:rsidRPr="009B7485">
              <w:rPr>
                <w:rFonts w:ascii="Cambria" w:hAnsi="Cambria"/>
                <w:lang w:eastAsia="fr-FR"/>
              </w:rPr>
              <w:t>au titres</w:t>
            </w:r>
            <w:proofErr w:type="gramEnd"/>
            <w:r w:rsidRPr="009B7485">
              <w:rPr>
                <w:rFonts w:ascii="Cambria" w:hAnsi="Cambria"/>
                <w:lang w:eastAsia="fr-FR"/>
              </w:rPr>
              <w:t xml:space="preserve"> du fonds social collégiens et lycéen (FSCL)</w:t>
            </w:r>
          </w:p>
        </w:tc>
        <w:tc>
          <w:tcPr>
            <w:tcW w:w="1980" w:type="dxa"/>
            <w:vAlign w:val="center"/>
            <w:hideMark/>
          </w:tcPr>
          <w:p w14:paraId="05BFB679" w14:textId="77777777" w:rsidR="009B7485" w:rsidRPr="009B7485" w:rsidRDefault="009B7485" w:rsidP="009B7485">
            <w:pPr>
              <w:jc w:val="right"/>
              <w:rPr>
                <w:rFonts w:ascii="Cambria" w:hAnsi="Cambria"/>
                <w:lang w:eastAsia="fr-FR"/>
              </w:rPr>
            </w:pPr>
            <w:r w:rsidRPr="009B7485">
              <w:rPr>
                <w:rFonts w:ascii="Cambria" w:hAnsi="Cambria"/>
                <w:lang w:eastAsia="fr-FR"/>
              </w:rPr>
              <w:t>200 000</w:t>
            </w:r>
          </w:p>
        </w:tc>
      </w:tr>
      <w:tr w:rsidR="009B7485" w:rsidRPr="009B7485" w14:paraId="221EA91B" w14:textId="77777777" w:rsidTr="00C55E71">
        <w:trPr>
          <w:trHeight w:val="630"/>
        </w:trPr>
        <w:tc>
          <w:tcPr>
            <w:tcW w:w="3580" w:type="dxa"/>
            <w:vAlign w:val="center"/>
            <w:hideMark/>
          </w:tcPr>
          <w:p w14:paraId="5FC17BC5" w14:textId="77777777" w:rsidR="009B7485" w:rsidRPr="009B7485" w:rsidRDefault="009B7485" w:rsidP="009B7485">
            <w:pPr>
              <w:rPr>
                <w:rFonts w:ascii="Cambria" w:hAnsi="Cambria"/>
                <w:lang w:eastAsia="fr-FR"/>
              </w:rPr>
            </w:pPr>
            <w:r w:rsidRPr="009B7485">
              <w:rPr>
                <w:rFonts w:ascii="Cambria" w:hAnsi="Cambria"/>
                <w:lang w:eastAsia="fr-FR"/>
              </w:rPr>
              <w:t xml:space="preserve">Collège de </w:t>
            </w:r>
            <w:proofErr w:type="spellStart"/>
            <w:r w:rsidRPr="009B7485">
              <w:rPr>
                <w:rFonts w:ascii="Cambria" w:hAnsi="Cambria"/>
                <w:lang w:eastAsia="fr-FR"/>
              </w:rPr>
              <w:t>Moerai</w:t>
            </w:r>
            <w:proofErr w:type="spellEnd"/>
            <w:r w:rsidRPr="009B7485">
              <w:rPr>
                <w:rFonts w:ascii="Cambria" w:hAnsi="Cambria"/>
                <w:lang w:eastAsia="fr-FR"/>
              </w:rPr>
              <w:t xml:space="preserve"> - Rurutu</w:t>
            </w:r>
          </w:p>
        </w:tc>
        <w:tc>
          <w:tcPr>
            <w:tcW w:w="6720" w:type="dxa"/>
            <w:vAlign w:val="center"/>
            <w:hideMark/>
          </w:tcPr>
          <w:p w14:paraId="1CB626AF" w14:textId="77777777" w:rsidR="009B7485" w:rsidRPr="009B7485" w:rsidRDefault="009B7485" w:rsidP="009B7485">
            <w:pPr>
              <w:rPr>
                <w:rFonts w:ascii="Cambria" w:hAnsi="Cambria"/>
                <w:lang w:eastAsia="fr-FR"/>
              </w:rPr>
            </w:pPr>
            <w:r w:rsidRPr="009B7485">
              <w:rPr>
                <w:rFonts w:ascii="Cambria" w:hAnsi="Cambria"/>
                <w:lang w:eastAsia="fr-FR"/>
              </w:rPr>
              <w:t xml:space="preserve">Financement des actions menées </w:t>
            </w:r>
            <w:proofErr w:type="gramStart"/>
            <w:r w:rsidRPr="009B7485">
              <w:rPr>
                <w:rFonts w:ascii="Cambria" w:hAnsi="Cambria"/>
                <w:lang w:eastAsia="fr-FR"/>
              </w:rPr>
              <w:t>au titres</w:t>
            </w:r>
            <w:proofErr w:type="gramEnd"/>
            <w:r w:rsidRPr="009B7485">
              <w:rPr>
                <w:rFonts w:ascii="Cambria" w:hAnsi="Cambria"/>
                <w:lang w:eastAsia="fr-FR"/>
              </w:rPr>
              <w:t xml:space="preserve"> du fonds social collégiens et lycéen (FSCL)</w:t>
            </w:r>
          </w:p>
        </w:tc>
        <w:tc>
          <w:tcPr>
            <w:tcW w:w="1980" w:type="dxa"/>
            <w:vAlign w:val="center"/>
            <w:hideMark/>
          </w:tcPr>
          <w:p w14:paraId="12F6D38E" w14:textId="77777777" w:rsidR="009B7485" w:rsidRPr="009B7485" w:rsidRDefault="009B7485" w:rsidP="009B7485">
            <w:pPr>
              <w:jc w:val="right"/>
              <w:rPr>
                <w:rFonts w:ascii="Cambria" w:hAnsi="Cambria"/>
                <w:lang w:eastAsia="fr-FR"/>
              </w:rPr>
            </w:pPr>
            <w:r w:rsidRPr="009B7485">
              <w:rPr>
                <w:rFonts w:ascii="Cambria" w:hAnsi="Cambria"/>
                <w:lang w:eastAsia="fr-FR"/>
              </w:rPr>
              <w:t>300 000</w:t>
            </w:r>
          </w:p>
        </w:tc>
      </w:tr>
      <w:tr w:rsidR="009B7485" w:rsidRPr="009B7485" w14:paraId="079A2299" w14:textId="77777777" w:rsidTr="00C55E71">
        <w:trPr>
          <w:trHeight w:val="630"/>
        </w:trPr>
        <w:tc>
          <w:tcPr>
            <w:tcW w:w="3580" w:type="dxa"/>
            <w:vAlign w:val="center"/>
            <w:hideMark/>
          </w:tcPr>
          <w:p w14:paraId="0D4A4555" w14:textId="77777777" w:rsidR="009B7485" w:rsidRPr="009B7485" w:rsidRDefault="009B7485" w:rsidP="009B7485">
            <w:pPr>
              <w:rPr>
                <w:rFonts w:ascii="Cambria" w:hAnsi="Cambria"/>
                <w:lang w:eastAsia="fr-FR"/>
              </w:rPr>
            </w:pPr>
            <w:r w:rsidRPr="009B7485">
              <w:rPr>
                <w:rFonts w:ascii="Cambria" w:hAnsi="Cambria"/>
                <w:lang w:eastAsia="fr-FR"/>
              </w:rPr>
              <w:t xml:space="preserve">Collège du </w:t>
            </w:r>
            <w:proofErr w:type="spellStart"/>
            <w:r w:rsidRPr="009B7485">
              <w:rPr>
                <w:rFonts w:ascii="Cambria" w:hAnsi="Cambria"/>
                <w:lang w:eastAsia="fr-FR"/>
              </w:rPr>
              <w:t>Taaone</w:t>
            </w:r>
            <w:proofErr w:type="spellEnd"/>
            <w:r w:rsidRPr="009B7485">
              <w:rPr>
                <w:rFonts w:ascii="Cambria" w:hAnsi="Cambria"/>
                <w:lang w:eastAsia="fr-FR"/>
              </w:rPr>
              <w:t xml:space="preserve"> - Pirae</w:t>
            </w:r>
          </w:p>
        </w:tc>
        <w:tc>
          <w:tcPr>
            <w:tcW w:w="6720" w:type="dxa"/>
            <w:vAlign w:val="center"/>
            <w:hideMark/>
          </w:tcPr>
          <w:p w14:paraId="75527D28" w14:textId="77777777" w:rsidR="009B7485" w:rsidRPr="009B7485" w:rsidRDefault="009B7485" w:rsidP="009B7485">
            <w:pPr>
              <w:rPr>
                <w:rFonts w:ascii="Cambria" w:hAnsi="Cambria"/>
                <w:lang w:eastAsia="fr-FR"/>
              </w:rPr>
            </w:pPr>
            <w:r w:rsidRPr="009B7485">
              <w:rPr>
                <w:rFonts w:ascii="Cambria" w:hAnsi="Cambria"/>
                <w:lang w:eastAsia="fr-FR"/>
              </w:rPr>
              <w:t xml:space="preserve">Financement des actions menées </w:t>
            </w:r>
            <w:proofErr w:type="gramStart"/>
            <w:r w:rsidRPr="009B7485">
              <w:rPr>
                <w:rFonts w:ascii="Cambria" w:hAnsi="Cambria"/>
                <w:lang w:eastAsia="fr-FR"/>
              </w:rPr>
              <w:t>au titres</w:t>
            </w:r>
            <w:proofErr w:type="gramEnd"/>
            <w:r w:rsidRPr="009B7485">
              <w:rPr>
                <w:rFonts w:ascii="Cambria" w:hAnsi="Cambria"/>
                <w:lang w:eastAsia="fr-FR"/>
              </w:rPr>
              <w:t xml:space="preserve"> du fonds social collégiens et lycéen (FSCL)</w:t>
            </w:r>
          </w:p>
        </w:tc>
        <w:tc>
          <w:tcPr>
            <w:tcW w:w="1980" w:type="dxa"/>
            <w:vAlign w:val="center"/>
            <w:hideMark/>
          </w:tcPr>
          <w:p w14:paraId="789858F8" w14:textId="77777777" w:rsidR="009B7485" w:rsidRPr="009B7485" w:rsidRDefault="009B7485" w:rsidP="009B7485">
            <w:pPr>
              <w:jc w:val="right"/>
              <w:rPr>
                <w:rFonts w:ascii="Cambria" w:hAnsi="Cambria"/>
                <w:lang w:eastAsia="fr-FR"/>
              </w:rPr>
            </w:pPr>
            <w:r w:rsidRPr="009B7485">
              <w:rPr>
                <w:rFonts w:ascii="Cambria" w:hAnsi="Cambria"/>
                <w:lang w:eastAsia="fr-FR"/>
              </w:rPr>
              <w:t>100 000</w:t>
            </w:r>
          </w:p>
        </w:tc>
      </w:tr>
      <w:tr w:rsidR="009B7485" w:rsidRPr="009B7485" w14:paraId="0646906D" w14:textId="77777777" w:rsidTr="00C55E71">
        <w:trPr>
          <w:trHeight w:val="675"/>
        </w:trPr>
        <w:tc>
          <w:tcPr>
            <w:tcW w:w="3580" w:type="dxa"/>
            <w:vMerge w:val="restart"/>
            <w:vAlign w:val="center"/>
            <w:hideMark/>
          </w:tcPr>
          <w:p w14:paraId="3F2E0ED7" w14:textId="77777777" w:rsidR="009B7485" w:rsidRPr="009B7485" w:rsidRDefault="009B7485" w:rsidP="009B7485">
            <w:pPr>
              <w:rPr>
                <w:rFonts w:ascii="Cambria" w:hAnsi="Cambria"/>
                <w:lang w:eastAsia="fr-FR"/>
              </w:rPr>
            </w:pPr>
            <w:r w:rsidRPr="009B7485">
              <w:rPr>
                <w:rFonts w:ascii="Cambria" w:hAnsi="Cambria"/>
                <w:lang w:eastAsia="fr-FR"/>
              </w:rPr>
              <w:t>Collège de Afareaitu - Moorea</w:t>
            </w:r>
          </w:p>
        </w:tc>
        <w:tc>
          <w:tcPr>
            <w:tcW w:w="6720" w:type="dxa"/>
            <w:vAlign w:val="center"/>
            <w:hideMark/>
          </w:tcPr>
          <w:p w14:paraId="64FC1DFA" w14:textId="77777777" w:rsidR="009B7485" w:rsidRPr="009B7485" w:rsidRDefault="009B7485" w:rsidP="009B7485">
            <w:pPr>
              <w:rPr>
                <w:rFonts w:ascii="Cambria" w:hAnsi="Cambria"/>
                <w:lang w:eastAsia="fr-FR"/>
              </w:rPr>
            </w:pPr>
            <w:r w:rsidRPr="009B7485">
              <w:rPr>
                <w:rFonts w:ascii="Cambria" w:hAnsi="Cambria"/>
                <w:lang w:eastAsia="fr-FR"/>
              </w:rPr>
              <w:t>L’achat de tenues à destination des élèves inscrits en 3</w:t>
            </w:r>
            <w:r w:rsidRPr="009B7485">
              <w:rPr>
                <w:rFonts w:ascii="Cambria" w:hAnsi="Cambria"/>
                <w:vertAlign w:val="superscript"/>
                <w:lang w:eastAsia="fr-FR"/>
              </w:rPr>
              <w:t>ème</w:t>
            </w:r>
            <w:r w:rsidRPr="009B7485">
              <w:rPr>
                <w:rFonts w:ascii="Cambria" w:hAnsi="Cambria"/>
                <w:lang w:eastAsia="fr-FR"/>
              </w:rPr>
              <w:t xml:space="preserve"> Classe défense sécurité globale</w:t>
            </w:r>
          </w:p>
        </w:tc>
        <w:tc>
          <w:tcPr>
            <w:tcW w:w="1980" w:type="dxa"/>
            <w:vAlign w:val="center"/>
            <w:hideMark/>
          </w:tcPr>
          <w:p w14:paraId="3716F1CA" w14:textId="77777777" w:rsidR="009B7485" w:rsidRPr="009B7485" w:rsidRDefault="009B7485" w:rsidP="009B7485">
            <w:pPr>
              <w:jc w:val="right"/>
              <w:rPr>
                <w:rFonts w:ascii="Cambria" w:hAnsi="Cambria"/>
                <w:lang w:eastAsia="fr-FR"/>
              </w:rPr>
            </w:pPr>
            <w:r w:rsidRPr="009B7485">
              <w:rPr>
                <w:rFonts w:ascii="Cambria" w:hAnsi="Cambria"/>
                <w:lang w:eastAsia="fr-FR"/>
              </w:rPr>
              <w:t>381 230</w:t>
            </w:r>
          </w:p>
        </w:tc>
      </w:tr>
      <w:tr w:rsidR="009B7485" w:rsidRPr="009B7485" w14:paraId="0FD9BA57" w14:textId="77777777" w:rsidTr="00C55E71">
        <w:trPr>
          <w:trHeight w:val="630"/>
        </w:trPr>
        <w:tc>
          <w:tcPr>
            <w:tcW w:w="3580" w:type="dxa"/>
            <w:vMerge/>
            <w:vAlign w:val="center"/>
            <w:hideMark/>
          </w:tcPr>
          <w:p w14:paraId="5C1F685B" w14:textId="77777777" w:rsidR="009B7485" w:rsidRPr="009B7485" w:rsidRDefault="009B7485" w:rsidP="009B7485">
            <w:pPr>
              <w:rPr>
                <w:rFonts w:ascii="Cambria" w:hAnsi="Cambria"/>
                <w:lang w:eastAsia="fr-FR"/>
              </w:rPr>
            </w:pPr>
          </w:p>
        </w:tc>
        <w:tc>
          <w:tcPr>
            <w:tcW w:w="6720" w:type="dxa"/>
            <w:vAlign w:val="center"/>
            <w:hideMark/>
          </w:tcPr>
          <w:p w14:paraId="3BF36531" w14:textId="77777777" w:rsidR="009B7485" w:rsidRPr="009B7485" w:rsidRDefault="009B7485" w:rsidP="009B7485">
            <w:pPr>
              <w:rPr>
                <w:rFonts w:ascii="Cambria" w:hAnsi="Cambria"/>
                <w:lang w:eastAsia="fr-FR"/>
              </w:rPr>
            </w:pPr>
            <w:r w:rsidRPr="009B7485">
              <w:rPr>
                <w:rFonts w:ascii="Cambria" w:hAnsi="Cambria"/>
                <w:lang w:eastAsia="fr-FR"/>
              </w:rPr>
              <w:t xml:space="preserve">L’achat de 10 lampadaires solaires pour le centre d’hébergement de </w:t>
            </w:r>
            <w:proofErr w:type="spellStart"/>
            <w:r w:rsidRPr="009B7485">
              <w:rPr>
                <w:rFonts w:ascii="Cambria" w:hAnsi="Cambria"/>
                <w:lang w:eastAsia="fr-FR"/>
              </w:rPr>
              <w:t>Maiao</w:t>
            </w:r>
            <w:proofErr w:type="spellEnd"/>
          </w:p>
        </w:tc>
        <w:tc>
          <w:tcPr>
            <w:tcW w:w="1980" w:type="dxa"/>
            <w:vAlign w:val="center"/>
            <w:hideMark/>
          </w:tcPr>
          <w:p w14:paraId="037DE57E" w14:textId="77777777" w:rsidR="009B7485" w:rsidRPr="009B7485" w:rsidRDefault="009B7485" w:rsidP="009B7485">
            <w:pPr>
              <w:jc w:val="right"/>
              <w:rPr>
                <w:rFonts w:ascii="Cambria" w:hAnsi="Cambria"/>
                <w:lang w:eastAsia="fr-FR"/>
              </w:rPr>
            </w:pPr>
            <w:r w:rsidRPr="009B7485">
              <w:rPr>
                <w:rFonts w:ascii="Cambria" w:hAnsi="Cambria"/>
                <w:lang w:eastAsia="fr-FR"/>
              </w:rPr>
              <w:t>220 000</w:t>
            </w:r>
          </w:p>
        </w:tc>
      </w:tr>
      <w:tr w:rsidR="009B7485" w:rsidRPr="009B7485" w14:paraId="79FD2546" w14:textId="77777777" w:rsidTr="00C55E71">
        <w:trPr>
          <w:trHeight w:val="315"/>
        </w:trPr>
        <w:tc>
          <w:tcPr>
            <w:tcW w:w="3580" w:type="dxa"/>
            <w:vAlign w:val="center"/>
            <w:hideMark/>
          </w:tcPr>
          <w:p w14:paraId="2ECE4B7C" w14:textId="77777777" w:rsidR="009B7485" w:rsidRPr="009B7485" w:rsidRDefault="009B7485" w:rsidP="009B7485">
            <w:pPr>
              <w:rPr>
                <w:rFonts w:ascii="Cambria" w:hAnsi="Cambria"/>
                <w:lang w:eastAsia="fr-FR"/>
              </w:rPr>
            </w:pPr>
            <w:r w:rsidRPr="009B7485">
              <w:rPr>
                <w:rFonts w:ascii="Cambria" w:hAnsi="Cambria"/>
                <w:lang w:eastAsia="fr-FR"/>
              </w:rPr>
              <w:t>Collège d’</w:t>
            </w:r>
            <w:proofErr w:type="spellStart"/>
            <w:r w:rsidRPr="009B7485">
              <w:rPr>
                <w:rFonts w:ascii="Cambria" w:hAnsi="Cambria"/>
                <w:lang w:eastAsia="fr-FR"/>
              </w:rPr>
              <w:t>Arue</w:t>
            </w:r>
            <w:proofErr w:type="spellEnd"/>
          </w:p>
        </w:tc>
        <w:tc>
          <w:tcPr>
            <w:tcW w:w="6720" w:type="dxa"/>
            <w:vAlign w:val="center"/>
            <w:hideMark/>
          </w:tcPr>
          <w:p w14:paraId="3B32B082" w14:textId="77777777" w:rsidR="009B7485" w:rsidRPr="009B7485" w:rsidRDefault="009B7485" w:rsidP="009B7485">
            <w:pPr>
              <w:rPr>
                <w:rFonts w:ascii="Cambria" w:hAnsi="Cambria"/>
                <w:lang w:eastAsia="fr-FR"/>
              </w:rPr>
            </w:pPr>
            <w:r w:rsidRPr="009B7485">
              <w:rPr>
                <w:rFonts w:ascii="Cambria" w:hAnsi="Cambria"/>
                <w:lang w:eastAsia="fr-FR"/>
              </w:rPr>
              <w:t>Le remplacement de 128 tables de 8 salles de classe</w:t>
            </w:r>
          </w:p>
        </w:tc>
        <w:tc>
          <w:tcPr>
            <w:tcW w:w="1980" w:type="dxa"/>
            <w:vAlign w:val="center"/>
            <w:hideMark/>
          </w:tcPr>
          <w:p w14:paraId="22AA4A9D" w14:textId="77777777" w:rsidR="009B7485" w:rsidRPr="009B7485" w:rsidRDefault="009B7485" w:rsidP="009B7485">
            <w:pPr>
              <w:jc w:val="right"/>
              <w:rPr>
                <w:rFonts w:ascii="Cambria" w:hAnsi="Cambria"/>
                <w:lang w:eastAsia="fr-FR"/>
              </w:rPr>
            </w:pPr>
            <w:r w:rsidRPr="009B7485">
              <w:rPr>
                <w:rFonts w:ascii="Cambria" w:hAnsi="Cambria"/>
                <w:lang w:eastAsia="fr-FR"/>
              </w:rPr>
              <w:t>1 686 584</w:t>
            </w:r>
          </w:p>
        </w:tc>
      </w:tr>
      <w:tr w:rsidR="009B7485" w:rsidRPr="009B7485" w14:paraId="1E1D0295" w14:textId="77777777" w:rsidTr="00C55E71">
        <w:trPr>
          <w:trHeight w:val="315"/>
        </w:trPr>
        <w:tc>
          <w:tcPr>
            <w:tcW w:w="3580" w:type="dxa"/>
            <w:vAlign w:val="center"/>
            <w:hideMark/>
          </w:tcPr>
          <w:p w14:paraId="7F8BF021" w14:textId="77777777" w:rsidR="009B7485" w:rsidRPr="009B7485" w:rsidRDefault="009B7485" w:rsidP="009B7485">
            <w:pPr>
              <w:rPr>
                <w:rFonts w:ascii="Cambria" w:hAnsi="Cambria"/>
                <w:lang w:eastAsia="fr-FR"/>
              </w:rPr>
            </w:pPr>
            <w:r w:rsidRPr="009B7485">
              <w:rPr>
                <w:rFonts w:ascii="Cambria" w:hAnsi="Cambria"/>
                <w:lang w:eastAsia="fr-FR"/>
              </w:rPr>
              <w:t xml:space="preserve">Collège de </w:t>
            </w:r>
            <w:proofErr w:type="spellStart"/>
            <w:r w:rsidRPr="009B7485">
              <w:rPr>
                <w:rFonts w:ascii="Cambria" w:hAnsi="Cambria"/>
                <w:lang w:eastAsia="fr-FR"/>
              </w:rPr>
              <w:t>Haamene</w:t>
            </w:r>
            <w:proofErr w:type="spellEnd"/>
            <w:r w:rsidRPr="009B7485">
              <w:rPr>
                <w:rFonts w:ascii="Cambria" w:hAnsi="Cambria"/>
                <w:lang w:eastAsia="fr-FR"/>
              </w:rPr>
              <w:t xml:space="preserve"> - Tahaa</w:t>
            </w:r>
          </w:p>
        </w:tc>
        <w:tc>
          <w:tcPr>
            <w:tcW w:w="6720" w:type="dxa"/>
            <w:vAlign w:val="center"/>
            <w:hideMark/>
          </w:tcPr>
          <w:p w14:paraId="36880C03" w14:textId="77777777" w:rsidR="009B7485" w:rsidRPr="009B7485" w:rsidRDefault="009B7485" w:rsidP="009B7485">
            <w:pPr>
              <w:rPr>
                <w:rFonts w:ascii="Cambria" w:hAnsi="Cambria"/>
                <w:lang w:eastAsia="fr-FR"/>
              </w:rPr>
            </w:pPr>
            <w:r w:rsidRPr="009B7485">
              <w:rPr>
                <w:rFonts w:ascii="Cambria" w:hAnsi="Cambria"/>
                <w:lang w:eastAsia="fr-FR"/>
              </w:rPr>
              <w:t>L'achat de mobilier scolaire pour une salle de classe</w:t>
            </w:r>
          </w:p>
        </w:tc>
        <w:tc>
          <w:tcPr>
            <w:tcW w:w="1980" w:type="dxa"/>
            <w:vAlign w:val="center"/>
            <w:hideMark/>
          </w:tcPr>
          <w:p w14:paraId="1C41A9D5" w14:textId="77777777" w:rsidR="009B7485" w:rsidRPr="009B7485" w:rsidRDefault="009B7485" w:rsidP="009B7485">
            <w:pPr>
              <w:jc w:val="right"/>
              <w:rPr>
                <w:rFonts w:ascii="Cambria" w:hAnsi="Cambria"/>
                <w:lang w:eastAsia="fr-FR"/>
              </w:rPr>
            </w:pPr>
            <w:r w:rsidRPr="009B7485">
              <w:rPr>
                <w:rFonts w:ascii="Cambria" w:hAnsi="Cambria"/>
                <w:lang w:eastAsia="fr-FR"/>
              </w:rPr>
              <w:t>599 011</w:t>
            </w:r>
          </w:p>
        </w:tc>
      </w:tr>
      <w:tr w:rsidR="009B7485" w:rsidRPr="009B7485" w14:paraId="62C34437" w14:textId="77777777" w:rsidTr="00C55E71">
        <w:trPr>
          <w:trHeight w:val="630"/>
        </w:trPr>
        <w:tc>
          <w:tcPr>
            <w:tcW w:w="3580" w:type="dxa"/>
            <w:vAlign w:val="center"/>
            <w:hideMark/>
          </w:tcPr>
          <w:p w14:paraId="59F8DC6D" w14:textId="77777777" w:rsidR="009B7485" w:rsidRPr="009B7485" w:rsidRDefault="009B7485" w:rsidP="009B7485">
            <w:pPr>
              <w:rPr>
                <w:rFonts w:ascii="Cambria" w:hAnsi="Cambria"/>
                <w:lang w:eastAsia="fr-FR"/>
              </w:rPr>
            </w:pPr>
            <w:r w:rsidRPr="009B7485">
              <w:rPr>
                <w:rFonts w:ascii="Cambria" w:hAnsi="Cambria"/>
                <w:lang w:eastAsia="fr-FR"/>
              </w:rPr>
              <w:t xml:space="preserve">Collège de </w:t>
            </w:r>
            <w:proofErr w:type="spellStart"/>
            <w:r w:rsidRPr="009B7485">
              <w:rPr>
                <w:rFonts w:ascii="Cambria" w:hAnsi="Cambria"/>
                <w:lang w:eastAsia="fr-FR"/>
              </w:rPr>
              <w:t>Mahina</w:t>
            </w:r>
            <w:proofErr w:type="spellEnd"/>
          </w:p>
        </w:tc>
        <w:tc>
          <w:tcPr>
            <w:tcW w:w="6720" w:type="dxa"/>
            <w:vAlign w:val="center"/>
            <w:hideMark/>
          </w:tcPr>
          <w:p w14:paraId="3B2D3AAF" w14:textId="77777777" w:rsidR="009B7485" w:rsidRPr="009B7485" w:rsidRDefault="009B7485" w:rsidP="009B7485">
            <w:pPr>
              <w:rPr>
                <w:rFonts w:ascii="Cambria" w:hAnsi="Cambria"/>
                <w:lang w:eastAsia="fr-FR"/>
              </w:rPr>
            </w:pPr>
            <w:r w:rsidRPr="009B7485">
              <w:rPr>
                <w:rFonts w:ascii="Cambria" w:hAnsi="Cambria"/>
                <w:lang w:eastAsia="fr-FR"/>
              </w:rPr>
              <w:t>Les frais de transport des élèves pour les cours d’EPS pour la période d’octobre 2020 à juin 2021</w:t>
            </w:r>
          </w:p>
        </w:tc>
        <w:tc>
          <w:tcPr>
            <w:tcW w:w="1980" w:type="dxa"/>
            <w:vAlign w:val="center"/>
            <w:hideMark/>
          </w:tcPr>
          <w:p w14:paraId="5131136E" w14:textId="77777777" w:rsidR="009B7485" w:rsidRPr="009B7485" w:rsidRDefault="009B7485" w:rsidP="009B7485">
            <w:pPr>
              <w:jc w:val="right"/>
              <w:rPr>
                <w:rFonts w:ascii="Cambria" w:hAnsi="Cambria"/>
                <w:lang w:eastAsia="fr-FR"/>
              </w:rPr>
            </w:pPr>
            <w:r w:rsidRPr="009B7485">
              <w:rPr>
                <w:rFonts w:ascii="Cambria" w:hAnsi="Cambria"/>
                <w:lang w:eastAsia="fr-FR"/>
              </w:rPr>
              <w:t>1 694 000</w:t>
            </w:r>
          </w:p>
        </w:tc>
      </w:tr>
      <w:tr w:rsidR="009B7485" w:rsidRPr="009B7485" w14:paraId="1782B698" w14:textId="77777777" w:rsidTr="00C55E71">
        <w:trPr>
          <w:trHeight w:val="315"/>
        </w:trPr>
        <w:tc>
          <w:tcPr>
            <w:tcW w:w="3580" w:type="dxa"/>
            <w:vAlign w:val="center"/>
            <w:hideMark/>
          </w:tcPr>
          <w:p w14:paraId="781CE957" w14:textId="77777777" w:rsidR="009B7485" w:rsidRPr="009B7485" w:rsidRDefault="009B7485" w:rsidP="009B7485">
            <w:pPr>
              <w:rPr>
                <w:rFonts w:ascii="Cambria" w:hAnsi="Cambria"/>
                <w:lang w:eastAsia="fr-FR"/>
              </w:rPr>
            </w:pPr>
            <w:r w:rsidRPr="009B7485">
              <w:rPr>
                <w:rFonts w:ascii="Cambria" w:hAnsi="Cambria"/>
                <w:lang w:eastAsia="fr-FR"/>
              </w:rPr>
              <w:t xml:space="preserve">Collège du </w:t>
            </w:r>
            <w:proofErr w:type="spellStart"/>
            <w:r w:rsidRPr="009B7485">
              <w:rPr>
                <w:rFonts w:ascii="Cambria" w:hAnsi="Cambria"/>
                <w:lang w:eastAsia="fr-FR"/>
              </w:rPr>
              <w:t>Taaone</w:t>
            </w:r>
            <w:proofErr w:type="spellEnd"/>
            <w:r w:rsidRPr="009B7485">
              <w:rPr>
                <w:rFonts w:ascii="Cambria" w:hAnsi="Cambria"/>
                <w:lang w:eastAsia="fr-FR"/>
              </w:rPr>
              <w:t xml:space="preserve"> - Pirae</w:t>
            </w:r>
          </w:p>
        </w:tc>
        <w:tc>
          <w:tcPr>
            <w:tcW w:w="6720" w:type="dxa"/>
            <w:vAlign w:val="center"/>
            <w:hideMark/>
          </w:tcPr>
          <w:p w14:paraId="08309603" w14:textId="77777777" w:rsidR="009B7485" w:rsidRPr="009B7485" w:rsidRDefault="009B7485" w:rsidP="009B7485">
            <w:pPr>
              <w:rPr>
                <w:rFonts w:ascii="Cambria" w:hAnsi="Cambria"/>
                <w:lang w:eastAsia="fr-FR"/>
              </w:rPr>
            </w:pPr>
            <w:r w:rsidRPr="009B7485">
              <w:rPr>
                <w:rFonts w:ascii="Cambria" w:hAnsi="Cambria"/>
                <w:lang w:eastAsia="fr-FR"/>
              </w:rPr>
              <w:t>L’achat de plaques de plafond</w:t>
            </w:r>
          </w:p>
        </w:tc>
        <w:tc>
          <w:tcPr>
            <w:tcW w:w="1980" w:type="dxa"/>
            <w:vAlign w:val="center"/>
            <w:hideMark/>
          </w:tcPr>
          <w:p w14:paraId="4AF797AD" w14:textId="77777777" w:rsidR="009B7485" w:rsidRPr="009B7485" w:rsidRDefault="009B7485" w:rsidP="009B7485">
            <w:pPr>
              <w:jc w:val="right"/>
              <w:rPr>
                <w:rFonts w:ascii="Cambria" w:hAnsi="Cambria"/>
                <w:lang w:eastAsia="fr-FR"/>
              </w:rPr>
            </w:pPr>
            <w:r w:rsidRPr="009B7485">
              <w:rPr>
                <w:rFonts w:ascii="Cambria" w:hAnsi="Cambria"/>
                <w:lang w:eastAsia="fr-FR"/>
              </w:rPr>
              <w:t>484 834</w:t>
            </w:r>
          </w:p>
        </w:tc>
      </w:tr>
      <w:tr w:rsidR="009B7485" w:rsidRPr="009B7485" w14:paraId="2852D769" w14:textId="77777777" w:rsidTr="00C55E71">
        <w:trPr>
          <w:trHeight w:val="315"/>
        </w:trPr>
        <w:tc>
          <w:tcPr>
            <w:tcW w:w="3580" w:type="dxa"/>
            <w:vMerge w:val="restart"/>
            <w:vAlign w:val="center"/>
            <w:hideMark/>
          </w:tcPr>
          <w:p w14:paraId="0CA3AA88" w14:textId="77777777" w:rsidR="009B7485" w:rsidRPr="009B7485" w:rsidRDefault="009B7485" w:rsidP="009B7485">
            <w:pPr>
              <w:rPr>
                <w:rFonts w:ascii="Cambria" w:hAnsi="Cambria"/>
                <w:lang w:eastAsia="fr-FR"/>
              </w:rPr>
            </w:pPr>
            <w:r w:rsidRPr="009B7485">
              <w:rPr>
                <w:rFonts w:ascii="Cambria" w:hAnsi="Cambria"/>
                <w:lang w:eastAsia="fr-FR"/>
              </w:rPr>
              <w:t xml:space="preserve">Lycée Diadème, Te Tara O </w:t>
            </w:r>
            <w:proofErr w:type="spellStart"/>
            <w:r w:rsidRPr="009B7485">
              <w:rPr>
                <w:rFonts w:ascii="Cambria" w:hAnsi="Cambria"/>
                <w:lang w:eastAsia="fr-FR"/>
              </w:rPr>
              <w:t>Maiao</w:t>
            </w:r>
            <w:proofErr w:type="spellEnd"/>
          </w:p>
        </w:tc>
        <w:tc>
          <w:tcPr>
            <w:tcW w:w="6720" w:type="dxa"/>
            <w:vAlign w:val="center"/>
            <w:hideMark/>
          </w:tcPr>
          <w:p w14:paraId="7DD1D78E" w14:textId="77777777" w:rsidR="009B7485" w:rsidRPr="009B7485" w:rsidRDefault="009B7485" w:rsidP="009B7485">
            <w:pPr>
              <w:rPr>
                <w:rFonts w:ascii="Cambria" w:hAnsi="Cambria"/>
                <w:lang w:eastAsia="fr-FR"/>
              </w:rPr>
            </w:pPr>
            <w:r w:rsidRPr="009B7485">
              <w:rPr>
                <w:rFonts w:ascii="Cambria" w:hAnsi="Cambria"/>
                <w:lang w:eastAsia="fr-FR"/>
              </w:rPr>
              <w:t>L’acquisition d’ouvrages pour l’enseignement LLCR</w:t>
            </w:r>
          </w:p>
        </w:tc>
        <w:tc>
          <w:tcPr>
            <w:tcW w:w="1980" w:type="dxa"/>
            <w:vAlign w:val="center"/>
            <w:hideMark/>
          </w:tcPr>
          <w:p w14:paraId="76474C9B" w14:textId="77777777" w:rsidR="009B7485" w:rsidRPr="009B7485" w:rsidRDefault="009B7485" w:rsidP="009B7485">
            <w:pPr>
              <w:jc w:val="right"/>
              <w:rPr>
                <w:rFonts w:ascii="Cambria" w:hAnsi="Cambria"/>
                <w:lang w:eastAsia="fr-FR"/>
              </w:rPr>
            </w:pPr>
            <w:r w:rsidRPr="009B7485">
              <w:rPr>
                <w:rFonts w:ascii="Cambria" w:hAnsi="Cambria"/>
                <w:lang w:eastAsia="fr-FR"/>
              </w:rPr>
              <w:t>202 255</w:t>
            </w:r>
          </w:p>
        </w:tc>
      </w:tr>
      <w:tr w:rsidR="009B7485" w:rsidRPr="009B7485" w14:paraId="0CFA8D5B" w14:textId="77777777" w:rsidTr="00C55E71">
        <w:trPr>
          <w:trHeight w:val="315"/>
        </w:trPr>
        <w:tc>
          <w:tcPr>
            <w:tcW w:w="3580" w:type="dxa"/>
            <w:vMerge/>
            <w:vAlign w:val="center"/>
            <w:hideMark/>
          </w:tcPr>
          <w:p w14:paraId="0D1EAFCA" w14:textId="77777777" w:rsidR="009B7485" w:rsidRPr="009B7485" w:rsidRDefault="009B7485" w:rsidP="009B7485">
            <w:pPr>
              <w:rPr>
                <w:rFonts w:ascii="Cambria" w:hAnsi="Cambria"/>
                <w:lang w:eastAsia="fr-FR"/>
              </w:rPr>
            </w:pPr>
          </w:p>
        </w:tc>
        <w:tc>
          <w:tcPr>
            <w:tcW w:w="6720" w:type="dxa"/>
            <w:vAlign w:val="center"/>
            <w:hideMark/>
          </w:tcPr>
          <w:p w14:paraId="6D4A8749" w14:textId="77777777" w:rsidR="009B7485" w:rsidRPr="009B7485" w:rsidRDefault="009B7485" w:rsidP="009B7485">
            <w:pPr>
              <w:rPr>
                <w:rFonts w:ascii="Cambria" w:hAnsi="Cambria"/>
                <w:lang w:eastAsia="fr-FR"/>
              </w:rPr>
            </w:pPr>
            <w:r w:rsidRPr="009B7485">
              <w:rPr>
                <w:rFonts w:ascii="Cambria" w:hAnsi="Cambria"/>
                <w:lang w:eastAsia="fr-FR"/>
              </w:rPr>
              <w:t>L'installation de serrures magnétiques au bâtiment T</w:t>
            </w:r>
          </w:p>
        </w:tc>
        <w:tc>
          <w:tcPr>
            <w:tcW w:w="1980" w:type="dxa"/>
            <w:vAlign w:val="center"/>
            <w:hideMark/>
          </w:tcPr>
          <w:p w14:paraId="5F34F07B" w14:textId="77777777" w:rsidR="009B7485" w:rsidRPr="009B7485" w:rsidRDefault="009B7485" w:rsidP="009B7485">
            <w:pPr>
              <w:jc w:val="right"/>
              <w:rPr>
                <w:rFonts w:ascii="Cambria" w:hAnsi="Cambria"/>
                <w:lang w:eastAsia="fr-FR"/>
              </w:rPr>
            </w:pPr>
            <w:r w:rsidRPr="009B7485">
              <w:rPr>
                <w:rFonts w:ascii="Cambria" w:hAnsi="Cambria"/>
                <w:lang w:eastAsia="fr-FR"/>
              </w:rPr>
              <w:t>1 778 340</w:t>
            </w:r>
          </w:p>
        </w:tc>
      </w:tr>
      <w:tr w:rsidR="009B7485" w:rsidRPr="009B7485" w14:paraId="15B895AF" w14:textId="77777777" w:rsidTr="00C55E71">
        <w:trPr>
          <w:trHeight w:val="315"/>
        </w:trPr>
        <w:tc>
          <w:tcPr>
            <w:tcW w:w="3580" w:type="dxa"/>
            <w:vMerge/>
            <w:vAlign w:val="center"/>
            <w:hideMark/>
          </w:tcPr>
          <w:p w14:paraId="030D9A67" w14:textId="77777777" w:rsidR="009B7485" w:rsidRPr="009B7485" w:rsidRDefault="009B7485" w:rsidP="009B7485">
            <w:pPr>
              <w:rPr>
                <w:rFonts w:ascii="Cambria" w:hAnsi="Cambria"/>
                <w:lang w:eastAsia="fr-FR"/>
              </w:rPr>
            </w:pPr>
          </w:p>
        </w:tc>
        <w:tc>
          <w:tcPr>
            <w:tcW w:w="6720" w:type="dxa"/>
            <w:vAlign w:val="center"/>
            <w:hideMark/>
          </w:tcPr>
          <w:p w14:paraId="3BE919B1" w14:textId="77777777" w:rsidR="009B7485" w:rsidRPr="009B7485" w:rsidRDefault="009B7485" w:rsidP="009B7485">
            <w:pPr>
              <w:rPr>
                <w:rFonts w:ascii="Cambria" w:hAnsi="Cambria"/>
                <w:lang w:eastAsia="fr-FR"/>
              </w:rPr>
            </w:pPr>
            <w:r w:rsidRPr="009B7485">
              <w:rPr>
                <w:rFonts w:ascii="Cambria" w:hAnsi="Cambria"/>
                <w:lang w:eastAsia="fr-FR"/>
              </w:rPr>
              <w:t>L’achat de cartes graphiques pour la formation STI2D</w:t>
            </w:r>
          </w:p>
        </w:tc>
        <w:tc>
          <w:tcPr>
            <w:tcW w:w="1980" w:type="dxa"/>
            <w:vAlign w:val="center"/>
            <w:hideMark/>
          </w:tcPr>
          <w:p w14:paraId="788B5E96" w14:textId="77777777" w:rsidR="009B7485" w:rsidRPr="009B7485" w:rsidRDefault="009B7485" w:rsidP="009B7485">
            <w:pPr>
              <w:jc w:val="right"/>
              <w:rPr>
                <w:rFonts w:ascii="Cambria" w:hAnsi="Cambria"/>
                <w:lang w:eastAsia="fr-FR"/>
              </w:rPr>
            </w:pPr>
            <w:r w:rsidRPr="009B7485">
              <w:rPr>
                <w:rFonts w:ascii="Cambria" w:hAnsi="Cambria"/>
                <w:lang w:eastAsia="fr-FR"/>
              </w:rPr>
              <w:t>1 452 607</w:t>
            </w:r>
          </w:p>
        </w:tc>
      </w:tr>
      <w:tr w:rsidR="009B7485" w:rsidRPr="009B7485" w14:paraId="759B72C6" w14:textId="77777777" w:rsidTr="00C55E71">
        <w:trPr>
          <w:trHeight w:val="315"/>
        </w:trPr>
        <w:tc>
          <w:tcPr>
            <w:tcW w:w="3580" w:type="dxa"/>
            <w:vMerge/>
            <w:vAlign w:val="center"/>
            <w:hideMark/>
          </w:tcPr>
          <w:p w14:paraId="65531158" w14:textId="77777777" w:rsidR="009B7485" w:rsidRPr="009B7485" w:rsidRDefault="009B7485" w:rsidP="009B7485">
            <w:pPr>
              <w:rPr>
                <w:rFonts w:ascii="Cambria" w:hAnsi="Cambria"/>
                <w:lang w:eastAsia="fr-FR"/>
              </w:rPr>
            </w:pPr>
          </w:p>
        </w:tc>
        <w:tc>
          <w:tcPr>
            <w:tcW w:w="6720" w:type="dxa"/>
            <w:vAlign w:val="center"/>
            <w:hideMark/>
          </w:tcPr>
          <w:p w14:paraId="3ECD54B4" w14:textId="77777777" w:rsidR="009B7485" w:rsidRPr="009B7485" w:rsidRDefault="009B7485" w:rsidP="009B7485">
            <w:pPr>
              <w:rPr>
                <w:rFonts w:ascii="Cambria" w:hAnsi="Cambria"/>
                <w:lang w:eastAsia="fr-FR"/>
              </w:rPr>
            </w:pPr>
            <w:r w:rsidRPr="009B7485">
              <w:rPr>
                <w:rFonts w:ascii="Cambria" w:hAnsi="Cambria"/>
                <w:lang w:eastAsia="fr-FR"/>
              </w:rPr>
              <w:t>La prise en charge de frais liés à la crise sanitaire</w:t>
            </w:r>
          </w:p>
        </w:tc>
        <w:tc>
          <w:tcPr>
            <w:tcW w:w="1980" w:type="dxa"/>
            <w:vAlign w:val="center"/>
            <w:hideMark/>
          </w:tcPr>
          <w:p w14:paraId="66376145" w14:textId="77777777" w:rsidR="009B7485" w:rsidRPr="009B7485" w:rsidRDefault="009B7485" w:rsidP="009B7485">
            <w:pPr>
              <w:jc w:val="right"/>
              <w:rPr>
                <w:rFonts w:ascii="Cambria" w:hAnsi="Cambria"/>
                <w:lang w:eastAsia="fr-FR"/>
              </w:rPr>
            </w:pPr>
            <w:r w:rsidRPr="009B7485">
              <w:rPr>
                <w:rFonts w:ascii="Cambria" w:hAnsi="Cambria"/>
                <w:lang w:eastAsia="fr-FR"/>
              </w:rPr>
              <w:t>2 750 000</w:t>
            </w:r>
          </w:p>
        </w:tc>
      </w:tr>
      <w:tr w:rsidR="009B7485" w:rsidRPr="009B7485" w14:paraId="3B8E7A21" w14:textId="77777777" w:rsidTr="00C55E71">
        <w:trPr>
          <w:trHeight w:val="630"/>
        </w:trPr>
        <w:tc>
          <w:tcPr>
            <w:tcW w:w="3580" w:type="dxa"/>
            <w:vAlign w:val="center"/>
            <w:hideMark/>
          </w:tcPr>
          <w:p w14:paraId="678F068B" w14:textId="77777777" w:rsidR="009B7485" w:rsidRPr="009B7485" w:rsidRDefault="009B7485" w:rsidP="009B7485">
            <w:pPr>
              <w:rPr>
                <w:rFonts w:ascii="Cambria" w:hAnsi="Cambria"/>
                <w:lang w:eastAsia="fr-FR"/>
              </w:rPr>
            </w:pPr>
            <w:r w:rsidRPr="009B7485">
              <w:rPr>
                <w:rFonts w:ascii="Cambria" w:hAnsi="Cambria"/>
                <w:lang w:eastAsia="fr-FR"/>
              </w:rPr>
              <w:t>Lycée professionnel de Faa’a</w:t>
            </w:r>
          </w:p>
        </w:tc>
        <w:tc>
          <w:tcPr>
            <w:tcW w:w="6720" w:type="dxa"/>
            <w:vAlign w:val="center"/>
            <w:hideMark/>
          </w:tcPr>
          <w:p w14:paraId="74FB02FF" w14:textId="77777777" w:rsidR="009B7485" w:rsidRPr="009B7485" w:rsidRDefault="009B7485" w:rsidP="009B7485">
            <w:pPr>
              <w:rPr>
                <w:rFonts w:ascii="Cambria" w:hAnsi="Cambria"/>
                <w:lang w:eastAsia="fr-FR"/>
              </w:rPr>
            </w:pPr>
            <w:r w:rsidRPr="009B7485">
              <w:rPr>
                <w:rFonts w:ascii="Cambria" w:hAnsi="Cambria"/>
                <w:lang w:eastAsia="fr-FR"/>
              </w:rPr>
              <w:t>L’acquisition de petits équipements à destination des élèves suivant la formation CAP AEPE</w:t>
            </w:r>
          </w:p>
        </w:tc>
        <w:tc>
          <w:tcPr>
            <w:tcW w:w="1980" w:type="dxa"/>
            <w:vAlign w:val="center"/>
            <w:hideMark/>
          </w:tcPr>
          <w:p w14:paraId="5CAEDE2E" w14:textId="77777777" w:rsidR="009B7485" w:rsidRPr="009B7485" w:rsidRDefault="009B7485" w:rsidP="009B7485">
            <w:pPr>
              <w:jc w:val="right"/>
              <w:rPr>
                <w:rFonts w:ascii="Cambria" w:hAnsi="Cambria"/>
                <w:lang w:eastAsia="fr-FR"/>
              </w:rPr>
            </w:pPr>
            <w:r w:rsidRPr="009B7485">
              <w:rPr>
                <w:rFonts w:ascii="Cambria" w:hAnsi="Cambria"/>
                <w:lang w:eastAsia="fr-FR"/>
              </w:rPr>
              <w:t>773 530</w:t>
            </w:r>
          </w:p>
        </w:tc>
      </w:tr>
      <w:tr w:rsidR="009B7485" w:rsidRPr="009B7485" w14:paraId="0F1B6B16" w14:textId="77777777" w:rsidTr="00C55E71">
        <w:trPr>
          <w:trHeight w:val="945"/>
        </w:trPr>
        <w:tc>
          <w:tcPr>
            <w:tcW w:w="3580" w:type="dxa"/>
            <w:vAlign w:val="center"/>
            <w:hideMark/>
          </w:tcPr>
          <w:p w14:paraId="63F021A6" w14:textId="77777777" w:rsidR="009B7485" w:rsidRPr="009B7485" w:rsidRDefault="009B7485" w:rsidP="009B7485">
            <w:pPr>
              <w:rPr>
                <w:rFonts w:ascii="Cambria" w:hAnsi="Cambria"/>
                <w:lang w:eastAsia="fr-FR"/>
              </w:rPr>
            </w:pPr>
            <w:r w:rsidRPr="009B7485">
              <w:rPr>
                <w:rFonts w:ascii="Cambria" w:hAnsi="Cambria"/>
                <w:lang w:eastAsia="fr-FR"/>
              </w:rPr>
              <w:t>Lycée hôtelier de Tahiti</w:t>
            </w:r>
          </w:p>
        </w:tc>
        <w:tc>
          <w:tcPr>
            <w:tcW w:w="6720" w:type="dxa"/>
            <w:vAlign w:val="center"/>
            <w:hideMark/>
          </w:tcPr>
          <w:p w14:paraId="0E47B918" w14:textId="77777777" w:rsidR="009B7485" w:rsidRPr="009B7485" w:rsidRDefault="009B7485" w:rsidP="009B7485">
            <w:pPr>
              <w:rPr>
                <w:rFonts w:ascii="Cambria" w:hAnsi="Cambria"/>
                <w:lang w:eastAsia="fr-FR"/>
              </w:rPr>
            </w:pPr>
            <w:r w:rsidRPr="009B7485">
              <w:rPr>
                <w:rFonts w:ascii="Cambria" w:hAnsi="Cambria"/>
                <w:lang w:eastAsia="fr-FR"/>
              </w:rPr>
              <w:t>L'acquisition de matériels et la constitution d'une cave dans le cadre de l'ouverture de la formation " mention complémentaire sommelier de niveau 5 "</w:t>
            </w:r>
          </w:p>
        </w:tc>
        <w:tc>
          <w:tcPr>
            <w:tcW w:w="1980" w:type="dxa"/>
            <w:vAlign w:val="center"/>
            <w:hideMark/>
          </w:tcPr>
          <w:p w14:paraId="709494C0" w14:textId="77777777" w:rsidR="009B7485" w:rsidRPr="009B7485" w:rsidRDefault="009B7485" w:rsidP="009B7485">
            <w:pPr>
              <w:jc w:val="right"/>
              <w:rPr>
                <w:rFonts w:ascii="Cambria" w:hAnsi="Cambria"/>
                <w:lang w:eastAsia="fr-FR"/>
              </w:rPr>
            </w:pPr>
            <w:r w:rsidRPr="009B7485">
              <w:rPr>
                <w:rFonts w:ascii="Cambria" w:hAnsi="Cambria"/>
                <w:lang w:eastAsia="fr-FR"/>
              </w:rPr>
              <w:t>407 927</w:t>
            </w:r>
          </w:p>
        </w:tc>
      </w:tr>
      <w:tr w:rsidR="009B7485" w:rsidRPr="009B7485" w14:paraId="7B42CF13" w14:textId="77777777" w:rsidTr="00C55E71">
        <w:trPr>
          <w:trHeight w:val="315"/>
        </w:trPr>
        <w:tc>
          <w:tcPr>
            <w:tcW w:w="3580" w:type="dxa"/>
            <w:vMerge w:val="restart"/>
            <w:vAlign w:val="center"/>
            <w:hideMark/>
          </w:tcPr>
          <w:p w14:paraId="29E7DCAC" w14:textId="77777777" w:rsidR="009B7485" w:rsidRPr="009B7485" w:rsidRDefault="009B7485" w:rsidP="009B7485">
            <w:pPr>
              <w:rPr>
                <w:rFonts w:ascii="Cambria" w:hAnsi="Cambria"/>
                <w:lang w:eastAsia="fr-FR"/>
              </w:rPr>
            </w:pPr>
            <w:r w:rsidRPr="009B7485">
              <w:rPr>
                <w:rFonts w:ascii="Cambria" w:hAnsi="Cambria"/>
                <w:lang w:eastAsia="fr-FR"/>
              </w:rPr>
              <w:t xml:space="preserve">Lycée professionnel de </w:t>
            </w:r>
            <w:proofErr w:type="spellStart"/>
            <w:r w:rsidRPr="009B7485">
              <w:rPr>
                <w:rFonts w:ascii="Cambria" w:hAnsi="Cambria"/>
                <w:lang w:eastAsia="fr-FR"/>
              </w:rPr>
              <w:t>Mahina</w:t>
            </w:r>
            <w:proofErr w:type="spellEnd"/>
          </w:p>
        </w:tc>
        <w:tc>
          <w:tcPr>
            <w:tcW w:w="6720" w:type="dxa"/>
            <w:vAlign w:val="center"/>
            <w:hideMark/>
          </w:tcPr>
          <w:p w14:paraId="3F09765F" w14:textId="77777777" w:rsidR="009B7485" w:rsidRPr="009B7485" w:rsidRDefault="009B7485" w:rsidP="009B7485">
            <w:pPr>
              <w:rPr>
                <w:rFonts w:ascii="Cambria" w:hAnsi="Cambria"/>
                <w:lang w:eastAsia="fr-FR"/>
              </w:rPr>
            </w:pPr>
            <w:r w:rsidRPr="009B7485">
              <w:rPr>
                <w:rFonts w:ascii="Cambria" w:hAnsi="Cambria"/>
                <w:lang w:eastAsia="fr-FR"/>
              </w:rPr>
              <w:t>L’externalisation de l’entretien du nouvel internat</w:t>
            </w:r>
          </w:p>
        </w:tc>
        <w:tc>
          <w:tcPr>
            <w:tcW w:w="1980" w:type="dxa"/>
            <w:vAlign w:val="center"/>
            <w:hideMark/>
          </w:tcPr>
          <w:p w14:paraId="690EE3B7" w14:textId="77777777" w:rsidR="009B7485" w:rsidRPr="009B7485" w:rsidRDefault="009B7485" w:rsidP="009B7485">
            <w:pPr>
              <w:jc w:val="right"/>
              <w:rPr>
                <w:rFonts w:ascii="Cambria" w:hAnsi="Cambria"/>
                <w:lang w:eastAsia="fr-FR"/>
              </w:rPr>
            </w:pPr>
            <w:r w:rsidRPr="009B7485">
              <w:rPr>
                <w:rFonts w:ascii="Cambria" w:hAnsi="Cambria"/>
                <w:lang w:eastAsia="fr-FR"/>
              </w:rPr>
              <w:t>981 382</w:t>
            </w:r>
          </w:p>
        </w:tc>
      </w:tr>
      <w:tr w:rsidR="009B7485" w:rsidRPr="009B7485" w14:paraId="306AA8FD" w14:textId="77777777" w:rsidTr="00C55E71">
        <w:trPr>
          <w:trHeight w:val="630"/>
        </w:trPr>
        <w:tc>
          <w:tcPr>
            <w:tcW w:w="3580" w:type="dxa"/>
            <w:vMerge/>
            <w:vAlign w:val="center"/>
            <w:hideMark/>
          </w:tcPr>
          <w:p w14:paraId="4D0F05CF" w14:textId="77777777" w:rsidR="009B7485" w:rsidRPr="009B7485" w:rsidRDefault="009B7485" w:rsidP="009B7485">
            <w:pPr>
              <w:rPr>
                <w:rFonts w:ascii="Cambria" w:hAnsi="Cambria"/>
                <w:lang w:eastAsia="fr-FR"/>
              </w:rPr>
            </w:pPr>
          </w:p>
        </w:tc>
        <w:tc>
          <w:tcPr>
            <w:tcW w:w="6720" w:type="dxa"/>
            <w:vAlign w:val="center"/>
            <w:hideMark/>
          </w:tcPr>
          <w:p w14:paraId="545EC46B" w14:textId="77777777" w:rsidR="009B7485" w:rsidRPr="009B7485" w:rsidRDefault="009B7485" w:rsidP="009B7485">
            <w:pPr>
              <w:rPr>
                <w:rFonts w:ascii="Cambria" w:hAnsi="Cambria"/>
                <w:lang w:eastAsia="fr-FR"/>
              </w:rPr>
            </w:pPr>
            <w:r w:rsidRPr="009B7485">
              <w:rPr>
                <w:rFonts w:ascii="Cambria" w:hAnsi="Cambria"/>
                <w:lang w:eastAsia="fr-FR"/>
              </w:rPr>
              <w:t>La participation de l’établissement au concours du Meilleur Apprenti de France session 2020</w:t>
            </w:r>
          </w:p>
        </w:tc>
        <w:tc>
          <w:tcPr>
            <w:tcW w:w="1980" w:type="dxa"/>
            <w:vAlign w:val="center"/>
            <w:hideMark/>
          </w:tcPr>
          <w:p w14:paraId="52A21E21" w14:textId="77777777" w:rsidR="009B7485" w:rsidRPr="009B7485" w:rsidRDefault="009B7485" w:rsidP="009B7485">
            <w:pPr>
              <w:jc w:val="right"/>
              <w:rPr>
                <w:rFonts w:ascii="Cambria" w:hAnsi="Cambria"/>
                <w:lang w:eastAsia="fr-FR"/>
              </w:rPr>
            </w:pPr>
            <w:r w:rsidRPr="009B7485">
              <w:rPr>
                <w:rFonts w:ascii="Cambria" w:hAnsi="Cambria"/>
                <w:lang w:eastAsia="fr-FR"/>
              </w:rPr>
              <w:t>600 000</w:t>
            </w:r>
          </w:p>
        </w:tc>
      </w:tr>
      <w:tr w:rsidR="009B7485" w:rsidRPr="009B7485" w14:paraId="0B58833D" w14:textId="77777777" w:rsidTr="00C55E71">
        <w:trPr>
          <w:trHeight w:val="1260"/>
        </w:trPr>
        <w:tc>
          <w:tcPr>
            <w:tcW w:w="3580" w:type="dxa"/>
            <w:vMerge w:val="restart"/>
            <w:vAlign w:val="center"/>
            <w:hideMark/>
          </w:tcPr>
          <w:p w14:paraId="06E1B2F4" w14:textId="77777777" w:rsidR="009B7485" w:rsidRPr="009B7485" w:rsidRDefault="009B7485" w:rsidP="009B7485">
            <w:pPr>
              <w:rPr>
                <w:rFonts w:ascii="Cambria" w:hAnsi="Cambria"/>
                <w:lang w:eastAsia="fr-FR"/>
              </w:rPr>
            </w:pPr>
            <w:r w:rsidRPr="009B7485">
              <w:rPr>
                <w:rFonts w:ascii="Cambria" w:hAnsi="Cambria"/>
                <w:lang w:eastAsia="fr-FR"/>
              </w:rPr>
              <w:t xml:space="preserve">Lycée </w:t>
            </w:r>
            <w:proofErr w:type="spellStart"/>
            <w:r w:rsidRPr="009B7485">
              <w:rPr>
                <w:rFonts w:ascii="Cambria" w:hAnsi="Cambria"/>
                <w:lang w:eastAsia="fr-FR"/>
              </w:rPr>
              <w:t>Tuianu</w:t>
            </w:r>
            <w:proofErr w:type="spellEnd"/>
            <w:r w:rsidRPr="009B7485">
              <w:rPr>
                <w:rFonts w:ascii="Cambria" w:hAnsi="Cambria"/>
                <w:lang w:eastAsia="fr-FR"/>
              </w:rPr>
              <w:t xml:space="preserve"> Le </w:t>
            </w:r>
            <w:proofErr w:type="spellStart"/>
            <w:r w:rsidRPr="009B7485">
              <w:rPr>
                <w:rFonts w:ascii="Cambria" w:hAnsi="Cambria"/>
                <w:lang w:eastAsia="fr-FR"/>
              </w:rPr>
              <w:t>Gayic</w:t>
            </w:r>
            <w:proofErr w:type="spellEnd"/>
          </w:p>
        </w:tc>
        <w:tc>
          <w:tcPr>
            <w:tcW w:w="6720" w:type="dxa"/>
            <w:vAlign w:val="center"/>
            <w:hideMark/>
          </w:tcPr>
          <w:p w14:paraId="1B9AE13B" w14:textId="77777777" w:rsidR="009B7485" w:rsidRPr="009B7485" w:rsidRDefault="009B7485" w:rsidP="009B7485">
            <w:pPr>
              <w:rPr>
                <w:rFonts w:ascii="Cambria" w:hAnsi="Cambria"/>
                <w:lang w:eastAsia="fr-FR"/>
              </w:rPr>
            </w:pPr>
            <w:r w:rsidRPr="009B7485">
              <w:rPr>
                <w:rFonts w:ascii="Cambria" w:hAnsi="Cambria"/>
                <w:lang w:eastAsia="fr-FR"/>
              </w:rPr>
              <w:t xml:space="preserve">L'aménagement d'un </w:t>
            </w:r>
            <w:proofErr w:type="spellStart"/>
            <w:r w:rsidRPr="009B7485">
              <w:rPr>
                <w:rFonts w:ascii="Cambria" w:hAnsi="Cambria"/>
                <w:lang w:eastAsia="fr-FR"/>
              </w:rPr>
              <w:t>deck</w:t>
            </w:r>
            <w:proofErr w:type="spellEnd"/>
            <w:r w:rsidRPr="009B7485">
              <w:rPr>
                <w:rFonts w:ascii="Cambria" w:hAnsi="Cambria"/>
                <w:lang w:eastAsia="fr-FR"/>
              </w:rPr>
              <w:t xml:space="preserve"> permettant d'accueillir des clients dans le cadre de la mise en place du certificat d'aptitude professionnelle "production et service en restaurations (PSR)"</w:t>
            </w:r>
          </w:p>
        </w:tc>
        <w:tc>
          <w:tcPr>
            <w:tcW w:w="1980" w:type="dxa"/>
            <w:vAlign w:val="center"/>
            <w:hideMark/>
          </w:tcPr>
          <w:p w14:paraId="1FBF5CD1" w14:textId="77777777" w:rsidR="009B7485" w:rsidRPr="009B7485" w:rsidRDefault="009B7485" w:rsidP="009B7485">
            <w:pPr>
              <w:jc w:val="right"/>
              <w:rPr>
                <w:rFonts w:ascii="Cambria" w:hAnsi="Cambria"/>
                <w:lang w:eastAsia="fr-FR"/>
              </w:rPr>
            </w:pPr>
            <w:r w:rsidRPr="009B7485">
              <w:rPr>
                <w:rFonts w:ascii="Cambria" w:hAnsi="Cambria"/>
                <w:lang w:eastAsia="fr-FR"/>
              </w:rPr>
              <w:t>350 000</w:t>
            </w:r>
          </w:p>
        </w:tc>
      </w:tr>
      <w:tr w:rsidR="009B7485" w:rsidRPr="009B7485" w14:paraId="2B118E9C" w14:textId="77777777" w:rsidTr="00C55E71">
        <w:trPr>
          <w:trHeight w:val="945"/>
        </w:trPr>
        <w:tc>
          <w:tcPr>
            <w:tcW w:w="3580" w:type="dxa"/>
            <w:vMerge/>
            <w:vAlign w:val="center"/>
            <w:hideMark/>
          </w:tcPr>
          <w:p w14:paraId="5DAF6F4F" w14:textId="77777777" w:rsidR="009B7485" w:rsidRPr="009B7485" w:rsidRDefault="009B7485" w:rsidP="009B7485">
            <w:pPr>
              <w:rPr>
                <w:rFonts w:ascii="Cambria" w:hAnsi="Cambria"/>
                <w:lang w:eastAsia="fr-FR"/>
              </w:rPr>
            </w:pPr>
          </w:p>
        </w:tc>
        <w:tc>
          <w:tcPr>
            <w:tcW w:w="6720" w:type="dxa"/>
            <w:vAlign w:val="center"/>
            <w:hideMark/>
          </w:tcPr>
          <w:p w14:paraId="2E4E13B9" w14:textId="77777777" w:rsidR="009B7485" w:rsidRPr="009B7485" w:rsidRDefault="009B7485" w:rsidP="009B7485">
            <w:pPr>
              <w:rPr>
                <w:rFonts w:ascii="Cambria" w:hAnsi="Cambria"/>
                <w:lang w:eastAsia="fr-FR"/>
              </w:rPr>
            </w:pPr>
            <w:r w:rsidRPr="009B7485">
              <w:rPr>
                <w:rFonts w:ascii="Cambria" w:hAnsi="Cambria"/>
                <w:lang w:eastAsia="fr-FR"/>
              </w:rPr>
              <w:t>L'acquisition de matériels pour équiper les sections de certificat d'aptitude professionnelle et de baccalauréat professionnel en spécialité "électricité"</w:t>
            </w:r>
          </w:p>
        </w:tc>
        <w:tc>
          <w:tcPr>
            <w:tcW w:w="1980" w:type="dxa"/>
            <w:vAlign w:val="center"/>
            <w:hideMark/>
          </w:tcPr>
          <w:p w14:paraId="04577AE0" w14:textId="77777777" w:rsidR="009B7485" w:rsidRPr="009B7485" w:rsidRDefault="009B7485" w:rsidP="009B7485">
            <w:pPr>
              <w:jc w:val="right"/>
              <w:rPr>
                <w:rFonts w:ascii="Cambria" w:hAnsi="Cambria"/>
                <w:lang w:eastAsia="fr-FR"/>
              </w:rPr>
            </w:pPr>
            <w:r w:rsidRPr="009B7485">
              <w:rPr>
                <w:rFonts w:ascii="Cambria" w:hAnsi="Cambria"/>
                <w:lang w:eastAsia="fr-FR"/>
              </w:rPr>
              <w:t>1 499 797</w:t>
            </w:r>
          </w:p>
        </w:tc>
      </w:tr>
      <w:tr w:rsidR="009B7485" w:rsidRPr="009B7485" w14:paraId="3C85A216" w14:textId="77777777" w:rsidTr="00C55E71">
        <w:trPr>
          <w:trHeight w:val="315"/>
        </w:trPr>
        <w:tc>
          <w:tcPr>
            <w:tcW w:w="3580" w:type="dxa"/>
            <w:vMerge w:val="restart"/>
            <w:vAlign w:val="center"/>
            <w:hideMark/>
          </w:tcPr>
          <w:p w14:paraId="5B98C917" w14:textId="77777777" w:rsidR="009B7485" w:rsidRPr="009B7485" w:rsidRDefault="009B7485" w:rsidP="009B7485">
            <w:pPr>
              <w:rPr>
                <w:rFonts w:ascii="Cambria" w:hAnsi="Cambria"/>
                <w:lang w:eastAsia="fr-FR"/>
              </w:rPr>
            </w:pPr>
            <w:r w:rsidRPr="009B7485">
              <w:rPr>
                <w:rFonts w:ascii="Cambria" w:hAnsi="Cambria"/>
                <w:lang w:eastAsia="fr-FR"/>
              </w:rPr>
              <w:t>Lycée d’</w:t>
            </w:r>
            <w:proofErr w:type="spellStart"/>
            <w:r w:rsidRPr="009B7485">
              <w:rPr>
                <w:rFonts w:ascii="Cambria" w:hAnsi="Cambria"/>
                <w:lang w:eastAsia="fr-FR"/>
              </w:rPr>
              <w:t>Uturoa</w:t>
            </w:r>
            <w:proofErr w:type="spellEnd"/>
            <w:r w:rsidRPr="009B7485">
              <w:rPr>
                <w:rFonts w:ascii="Cambria" w:hAnsi="Cambria"/>
                <w:lang w:eastAsia="fr-FR"/>
              </w:rPr>
              <w:t xml:space="preserve"> – Raiatea</w:t>
            </w:r>
          </w:p>
        </w:tc>
        <w:tc>
          <w:tcPr>
            <w:tcW w:w="6720" w:type="dxa"/>
            <w:vAlign w:val="center"/>
            <w:hideMark/>
          </w:tcPr>
          <w:p w14:paraId="0F677011" w14:textId="77777777" w:rsidR="009B7485" w:rsidRPr="009B7485" w:rsidRDefault="009B7485" w:rsidP="009B7485">
            <w:pPr>
              <w:rPr>
                <w:rFonts w:ascii="Cambria" w:hAnsi="Cambria"/>
                <w:lang w:eastAsia="fr-FR"/>
              </w:rPr>
            </w:pPr>
            <w:r w:rsidRPr="009B7485">
              <w:rPr>
                <w:rFonts w:ascii="Cambria" w:hAnsi="Cambria"/>
                <w:lang w:eastAsia="fr-FR"/>
              </w:rPr>
              <w:t>La rénovation du sol des salles B4 et B5</w:t>
            </w:r>
          </w:p>
        </w:tc>
        <w:tc>
          <w:tcPr>
            <w:tcW w:w="1980" w:type="dxa"/>
            <w:vAlign w:val="center"/>
            <w:hideMark/>
          </w:tcPr>
          <w:p w14:paraId="0E43078F" w14:textId="77777777" w:rsidR="009B7485" w:rsidRPr="009B7485" w:rsidRDefault="009B7485" w:rsidP="009B7485">
            <w:pPr>
              <w:jc w:val="right"/>
              <w:rPr>
                <w:rFonts w:ascii="Cambria" w:hAnsi="Cambria"/>
                <w:lang w:eastAsia="fr-FR"/>
              </w:rPr>
            </w:pPr>
            <w:r w:rsidRPr="009B7485">
              <w:rPr>
                <w:rFonts w:ascii="Cambria" w:hAnsi="Cambria"/>
                <w:lang w:eastAsia="fr-FR"/>
              </w:rPr>
              <w:t>1 509 115</w:t>
            </w:r>
          </w:p>
        </w:tc>
      </w:tr>
      <w:tr w:rsidR="009B7485" w:rsidRPr="009B7485" w14:paraId="3B44B5A3" w14:textId="77777777" w:rsidTr="00C55E71">
        <w:trPr>
          <w:trHeight w:val="315"/>
        </w:trPr>
        <w:tc>
          <w:tcPr>
            <w:tcW w:w="3580" w:type="dxa"/>
            <w:vMerge/>
            <w:vAlign w:val="center"/>
            <w:hideMark/>
          </w:tcPr>
          <w:p w14:paraId="6DA7F51D" w14:textId="77777777" w:rsidR="009B7485" w:rsidRPr="009B7485" w:rsidRDefault="009B7485" w:rsidP="009B7485">
            <w:pPr>
              <w:rPr>
                <w:rFonts w:ascii="Cambria" w:hAnsi="Cambria"/>
                <w:lang w:eastAsia="fr-FR"/>
              </w:rPr>
            </w:pPr>
          </w:p>
        </w:tc>
        <w:tc>
          <w:tcPr>
            <w:tcW w:w="6720" w:type="dxa"/>
            <w:vAlign w:val="center"/>
            <w:hideMark/>
          </w:tcPr>
          <w:p w14:paraId="5F73528B" w14:textId="77777777" w:rsidR="009B7485" w:rsidRPr="009B7485" w:rsidRDefault="009B7485" w:rsidP="009B7485">
            <w:pPr>
              <w:rPr>
                <w:rFonts w:ascii="Cambria" w:hAnsi="Cambria"/>
                <w:lang w:eastAsia="fr-FR"/>
              </w:rPr>
            </w:pPr>
            <w:r w:rsidRPr="009B7485">
              <w:rPr>
                <w:rFonts w:ascii="Cambria" w:hAnsi="Cambria"/>
                <w:lang w:eastAsia="fr-FR"/>
              </w:rPr>
              <w:t>Les travaux de rénovation de l’infirmerie</w:t>
            </w:r>
          </w:p>
        </w:tc>
        <w:tc>
          <w:tcPr>
            <w:tcW w:w="1980" w:type="dxa"/>
            <w:vAlign w:val="center"/>
            <w:hideMark/>
          </w:tcPr>
          <w:p w14:paraId="663285D2" w14:textId="77777777" w:rsidR="009B7485" w:rsidRPr="009B7485" w:rsidRDefault="009B7485" w:rsidP="009B7485">
            <w:pPr>
              <w:jc w:val="right"/>
              <w:rPr>
                <w:rFonts w:ascii="Cambria" w:hAnsi="Cambria"/>
                <w:lang w:eastAsia="fr-FR"/>
              </w:rPr>
            </w:pPr>
            <w:r w:rsidRPr="009B7485">
              <w:rPr>
                <w:rFonts w:ascii="Cambria" w:hAnsi="Cambria"/>
                <w:lang w:eastAsia="fr-FR"/>
              </w:rPr>
              <w:t>1 975 698</w:t>
            </w:r>
          </w:p>
        </w:tc>
      </w:tr>
      <w:tr w:rsidR="009B7485" w:rsidRPr="009B7485" w14:paraId="12CF8FC9" w14:textId="77777777" w:rsidTr="00C55E71">
        <w:trPr>
          <w:trHeight w:val="315"/>
        </w:trPr>
        <w:tc>
          <w:tcPr>
            <w:tcW w:w="3580" w:type="dxa"/>
            <w:vMerge/>
            <w:vAlign w:val="center"/>
            <w:hideMark/>
          </w:tcPr>
          <w:p w14:paraId="55F8FAB7" w14:textId="77777777" w:rsidR="009B7485" w:rsidRPr="009B7485" w:rsidRDefault="009B7485" w:rsidP="009B7485">
            <w:pPr>
              <w:rPr>
                <w:rFonts w:ascii="Cambria" w:hAnsi="Cambria"/>
                <w:lang w:eastAsia="fr-FR"/>
              </w:rPr>
            </w:pPr>
          </w:p>
        </w:tc>
        <w:tc>
          <w:tcPr>
            <w:tcW w:w="6720" w:type="dxa"/>
            <w:vAlign w:val="center"/>
            <w:hideMark/>
          </w:tcPr>
          <w:p w14:paraId="4BB729C7" w14:textId="77777777" w:rsidR="009B7485" w:rsidRPr="009B7485" w:rsidRDefault="009B7485" w:rsidP="009B7485">
            <w:pPr>
              <w:rPr>
                <w:rFonts w:ascii="Cambria" w:hAnsi="Cambria"/>
                <w:lang w:eastAsia="fr-FR"/>
              </w:rPr>
            </w:pPr>
            <w:r w:rsidRPr="009B7485">
              <w:rPr>
                <w:rFonts w:ascii="Cambria" w:hAnsi="Cambria"/>
                <w:lang w:eastAsia="fr-FR"/>
              </w:rPr>
              <w:t>L’installation de climatiseurs dans les logements de fonction</w:t>
            </w:r>
          </w:p>
        </w:tc>
        <w:tc>
          <w:tcPr>
            <w:tcW w:w="1980" w:type="dxa"/>
            <w:vAlign w:val="center"/>
            <w:hideMark/>
          </w:tcPr>
          <w:p w14:paraId="4CCA9554" w14:textId="77777777" w:rsidR="009B7485" w:rsidRPr="009B7485" w:rsidRDefault="009B7485" w:rsidP="009B7485">
            <w:pPr>
              <w:jc w:val="right"/>
              <w:rPr>
                <w:rFonts w:ascii="Cambria" w:hAnsi="Cambria"/>
                <w:lang w:eastAsia="fr-FR"/>
              </w:rPr>
            </w:pPr>
            <w:r w:rsidRPr="009B7485">
              <w:rPr>
                <w:rFonts w:ascii="Cambria" w:hAnsi="Cambria"/>
                <w:lang w:eastAsia="fr-FR"/>
              </w:rPr>
              <w:t>149 970</w:t>
            </w:r>
          </w:p>
        </w:tc>
      </w:tr>
    </w:tbl>
    <w:p w14:paraId="3FCBC472" w14:textId="77777777" w:rsidR="009B7485" w:rsidRDefault="009B7485" w:rsidP="009B7485">
      <w:pPr>
        <w:rPr>
          <w:rFonts w:ascii="Cambria" w:hAnsi="Cambria"/>
          <w:lang w:eastAsia="fr-FR"/>
        </w:rPr>
      </w:pPr>
    </w:p>
    <w:p w14:paraId="02BAEC30" w14:textId="77777777" w:rsidR="00A433A7" w:rsidRDefault="00A433A7" w:rsidP="009B7485">
      <w:pPr>
        <w:rPr>
          <w:rFonts w:ascii="Cambria" w:hAnsi="Cambria"/>
          <w:lang w:eastAsia="fr-FR"/>
        </w:rPr>
      </w:pPr>
    </w:p>
    <w:p w14:paraId="56A69927" w14:textId="77777777" w:rsidR="00A433A7" w:rsidRDefault="00A433A7" w:rsidP="00A433A7">
      <w:pPr>
        <w:rPr>
          <w:rFonts w:ascii="Cambria" w:hAnsi="Cambria"/>
          <w:lang w:eastAsia="fr-FR"/>
        </w:rPr>
      </w:pPr>
    </w:p>
    <w:p w14:paraId="504E5A56" w14:textId="77777777" w:rsidR="00A433A7" w:rsidRPr="00A622C7" w:rsidRDefault="00A433A7" w:rsidP="00A433A7">
      <w:pPr>
        <w:rPr>
          <w:rFonts w:ascii="Cambria" w:hAnsi="Cambria"/>
          <w:b/>
          <w:lang w:eastAsia="fr-FR"/>
        </w:rPr>
      </w:pPr>
      <w:r w:rsidRPr="00A622C7">
        <w:rPr>
          <w:rFonts w:ascii="Cambria" w:hAnsi="Cambria"/>
          <w:b/>
          <w:lang w:eastAsia="fr-FR"/>
        </w:rPr>
        <w:t>Point sur les ateliers d’éducation à la non-violence</w:t>
      </w:r>
    </w:p>
    <w:p w14:paraId="552B7F3C" w14:textId="06DC77D7" w:rsidR="00A433A7" w:rsidRPr="00A433A7" w:rsidRDefault="00A433A7" w:rsidP="00A622C7">
      <w:pPr>
        <w:pBdr>
          <w:top w:val="nil"/>
          <w:left w:val="nil"/>
          <w:bottom w:val="nil"/>
          <w:right w:val="nil"/>
          <w:between w:val="nil"/>
          <w:bar w:val="nil"/>
        </w:pBdr>
        <w:spacing w:before="100" w:beforeAutospacing="1" w:after="100" w:afterAutospacing="1"/>
        <w:jc w:val="both"/>
        <w:rPr>
          <w:rFonts w:ascii="Cambria" w:hAnsi="Cambria"/>
          <w:szCs w:val="20"/>
        </w:rPr>
      </w:pPr>
      <w:r w:rsidRPr="00A433A7">
        <w:rPr>
          <w:rFonts w:ascii="Cambria" w:hAnsi="Cambria"/>
          <w:szCs w:val="20"/>
        </w:rPr>
        <w:t xml:space="preserve">Dans le cadre de la feuille de route du </w:t>
      </w:r>
      <w:r w:rsidR="00A622C7">
        <w:rPr>
          <w:rFonts w:ascii="Cambria" w:hAnsi="Cambria"/>
          <w:szCs w:val="20"/>
        </w:rPr>
        <w:t>m</w:t>
      </w:r>
      <w:r w:rsidRPr="00A433A7">
        <w:rPr>
          <w:rFonts w:ascii="Cambria" w:hAnsi="Cambria"/>
          <w:szCs w:val="20"/>
        </w:rPr>
        <w:t>inistère</w:t>
      </w:r>
      <w:r w:rsidR="00A622C7">
        <w:rPr>
          <w:rFonts w:ascii="Cambria" w:hAnsi="Cambria"/>
          <w:szCs w:val="20"/>
        </w:rPr>
        <w:t xml:space="preserve"> de la Famille</w:t>
      </w:r>
      <w:r w:rsidRPr="00A433A7">
        <w:rPr>
          <w:rFonts w:ascii="Cambria" w:hAnsi="Cambria"/>
          <w:szCs w:val="20"/>
        </w:rPr>
        <w:t>, un programme d’éducation et de transformation de la société a été fixé. L’objectif est de développer la qualité des comportements et des relations en réponse aux actes de violence que connaissent de nombreuses familles</w:t>
      </w:r>
      <w:r w:rsidR="00A622C7">
        <w:rPr>
          <w:rFonts w:ascii="Cambria" w:hAnsi="Cambria"/>
          <w:sz w:val="22"/>
          <w:szCs w:val="20"/>
        </w:rPr>
        <w:t>.</w:t>
      </w:r>
    </w:p>
    <w:p w14:paraId="00BD02F5" w14:textId="23EBDBB6" w:rsidR="00A433A7" w:rsidRPr="00A433A7" w:rsidRDefault="00A433A7" w:rsidP="00A622C7">
      <w:pPr>
        <w:pBdr>
          <w:top w:val="nil"/>
          <w:left w:val="nil"/>
          <w:bottom w:val="nil"/>
          <w:right w:val="nil"/>
          <w:between w:val="nil"/>
          <w:bar w:val="nil"/>
        </w:pBdr>
        <w:spacing w:before="100" w:beforeAutospacing="1" w:after="100" w:afterAutospacing="1"/>
        <w:jc w:val="both"/>
        <w:rPr>
          <w:rFonts w:ascii="Cambria" w:hAnsi="Cambria"/>
          <w:szCs w:val="20"/>
        </w:rPr>
      </w:pPr>
      <w:r w:rsidRPr="00A433A7">
        <w:rPr>
          <w:rFonts w:ascii="Cambria" w:hAnsi="Cambria"/>
          <w:szCs w:val="20"/>
        </w:rPr>
        <w:t>Le 30 septembre dernier</w:t>
      </w:r>
      <w:r w:rsidR="00A622C7">
        <w:rPr>
          <w:rFonts w:ascii="Cambria" w:hAnsi="Cambria"/>
          <w:szCs w:val="20"/>
        </w:rPr>
        <w:t>,</w:t>
      </w:r>
      <w:r w:rsidRPr="00A433A7">
        <w:rPr>
          <w:rFonts w:ascii="Cambria" w:hAnsi="Cambria"/>
          <w:szCs w:val="20"/>
        </w:rPr>
        <w:t xml:space="preserve"> </w:t>
      </w:r>
      <w:r w:rsidR="00A622C7">
        <w:rPr>
          <w:rFonts w:ascii="Cambria" w:hAnsi="Cambria"/>
          <w:szCs w:val="20"/>
        </w:rPr>
        <w:t>ont ainsi débuté,</w:t>
      </w:r>
      <w:r w:rsidRPr="00A433A7">
        <w:rPr>
          <w:rFonts w:ascii="Cambria" w:hAnsi="Cambria"/>
          <w:szCs w:val="20"/>
        </w:rPr>
        <w:t xml:space="preserve"> à Papeete et à </w:t>
      </w:r>
      <w:proofErr w:type="spellStart"/>
      <w:r w:rsidRPr="00A433A7">
        <w:rPr>
          <w:rFonts w:ascii="Cambria" w:hAnsi="Cambria"/>
          <w:szCs w:val="20"/>
        </w:rPr>
        <w:t>Taravao</w:t>
      </w:r>
      <w:proofErr w:type="spellEnd"/>
      <w:r w:rsidRPr="00A433A7">
        <w:rPr>
          <w:rFonts w:ascii="Cambria" w:hAnsi="Cambria"/>
          <w:szCs w:val="20"/>
        </w:rPr>
        <w:t>, les premier</w:t>
      </w:r>
      <w:r w:rsidR="005527BC">
        <w:rPr>
          <w:rFonts w:ascii="Cambria" w:hAnsi="Cambria"/>
          <w:szCs w:val="20"/>
        </w:rPr>
        <w:t>s ateliers d’éducation à la non-</w:t>
      </w:r>
      <w:r w:rsidRPr="00A433A7">
        <w:rPr>
          <w:rFonts w:ascii="Cambria" w:hAnsi="Cambria"/>
          <w:szCs w:val="20"/>
        </w:rPr>
        <w:t xml:space="preserve">violence et à la paix, organisés par la DSFE </w:t>
      </w:r>
      <w:r w:rsidR="005527BC">
        <w:rPr>
          <w:rFonts w:ascii="Cambria" w:hAnsi="Cambria"/>
          <w:szCs w:val="20"/>
        </w:rPr>
        <w:t xml:space="preserve">(Direction des solidarités, de la famille et de l’égalité) </w:t>
      </w:r>
      <w:r w:rsidRPr="00A433A7">
        <w:rPr>
          <w:rFonts w:ascii="Cambria" w:hAnsi="Cambria"/>
          <w:szCs w:val="20"/>
        </w:rPr>
        <w:t xml:space="preserve">et à l’initiative </w:t>
      </w:r>
      <w:r w:rsidR="005527BC">
        <w:rPr>
          <w:rFonts w:ascii="Cambria" w:hAnsi="Cambria"/>
          <w:szCs w:val="20"/>
        </w:rPr>
        <w:t>du ministère de la Famille</w:t>
      </w:r>
      <w:r w:rsidRPr="00A433A7">
        <w:rPr>
          <w:rFonts w:ascii="Cambria" w:hAnsi="Cambria"/>
          <w:szCs w:val="20"/>
        </w:rPr>
        <w:t>, au bénéfice de deux groupes de quinze personnes. Cette première sensibilisation a permis aux participants, afin de cultiver des relations pacifiées, d’approfondir la connaissance et l’estime de soi et de l’autre, de communiquer de façon efficace et bienveillante et de créer des conditions favorables à la réalisation de soi, à la consolidation du lien social et à la solidarité.</w:t>
      </w:r>
    </w:p>
    <w:p w14:paraId="6E272287" w14:textId="20F5C289" w:rsidR="00A433A7" w:rsidRPr="00A433A7" w:rsidRDefault="00A433A7" w:rsidP="005527BC">
      <w:pPr>
        <w:overflowPunct w:val="0"/>
        <w:autoSpaceDE w:val="0"/>
        <w:autoSpaceDN w:val="0"/>
        <w:adjustRightInd w:val="0"/>
        <w:spacing w:before="100" w:beforeAutospacing="1" w:after="100" w:afterAutospacing="1"/>
        <w:jc w:val="both"/>
        <w:textAlignment w:val="baseline"/>
        <w:rPr>
          <w:rFonts w:ascii="Cambria" w:hAnsi="Cambria"/>
          <w:szCs w:val="20"/>
        </w:rPr>
      </w:pPr>
      <w:r w:rsidRPr="00A433A7">
        <w:rPr>
          <w:rFonts w:ascii="Cambria" w:hAnsi="Cambria"/>
          <w:szCs w:val="20"/>
        </w:rPr>
        <w:t xml:space="preserve">Les cinq modules de bases viennent d’être clôturés après presque deux mois, à raison d’une journée de travail tous les quinze jours. Cela représente 35h d’accompagnement par des professionnels de la médiation et du coaching. Les témoignages recueillis confirment </w:t>
      </w:r>
      <w:r w:rsidRPr="00A433A7">
        <w:rPr>
          <w:rFonts w:ascii="Cambria" w:hAnsi="Cambria"/>
          <w:szCs w:val="20"/>
        </w:rPr>
        <w:lastRenderedPageBreak/>
        <w:t>la nécessité de poursuivr</w:t>
      </w:r>
      <w:r w:rsidR="005527BC">
        <w:rPr>
          <w:rFonts w:ascii="Cambria" w:hAnsi="Cambria"/>
          <w:szCs w:val="20"/>
        </w:rPr>
        <w:t xml:space="preserve">e et multiplier ces ateliers. </w:t>
      </w:r>
      <w:r w:rsidRPr="00A433A7">
        <w:rPr>
          <w:rFonts w:ascii="Cambria" w:hAnsi="Cambria"/>
          <w:szCs w:val="20"/>
        </w:rPr>
        <w:t xml:space="preserve">Les groupes se retrouveront de nouveau au mois de décembre pour deux séances d’ancrage de leurs acquisitions. </w:t>
      </w:r>
    </w:p>
    <w:p w14:paraId="241D4AD5" w14:textId="121632E9" w:rsidR="00A433A7" w:rsidRPr="00A433A7" w:rsidRDefault="005527BC" w:rsidP="005527BC">
      <w:pPr>
        <w:overflowPunct w:val="0"/>
        <w:autoSpaceDE w:val="0"/>
        <w:autoSpaceDN w:val="0"/>
        <w:adjustRightInd w:val="0"/>
        <w:spacing w:before="100" w:beforeAutospacing="1" w:after="100" w:afterAutospacing="1"/>
        <w:jc w:val="both"/>
        <w:textAlignment w:val="baseline"/>
        <w:rPr>
          <w:rFonts w:ascii="Cambria" w:hAnsi="Cambria"/>
          <w:szCs w:val="20"/>
        </w:rPr>
      </w:pPr>
      <w:r>
        <w:rPr>
          <w:rFonts w:ascii="Cambria" w:hAnsi="Cambria"/>
          <w:szCs w:val="20"/>
        </w:rPr>
        <w:t>Des</w:t>
      </w:r>
      <w:r w:rsidR="00A433A7" w:rsidRPr="00A433A7">
        <w:rPr>
          <w:rFonts w:ascii="Cambria" w:hAnsi="Cambria"/>
          <w:szCs w:val="20"/>
        </w:rPr>
        <w:t xml:space="preserve"> groupes de personnes </w:t>
      </w:r>
      <w:r>
        <w:rPr>
          <w:rFonts w:ascii="Cambria" w:hAnsi="Cambria"/>
          <w:szCs w:val="20"/>
        </w:rPr>
        <w:t xml:space="preserve">sont </w:t>
      </w:r>
      <w:r w:rsidR="00A433A7" w:rsidRPr="00A433A7">
        <w:rPr>
          <w:rFonts w:ascii="Cambria" w:hAnsi="Cambria"/>
          <w:szCs w:val="20"/>
        </w:rPr>
        <w:t xml:space="preserve">composés </w:t>
      </w:r>
      <w:r>
        <w:rPr>
          <w:rFonts w:ascii="Cambria" w:hAnsi="Cambria"/>
          <w:szCs w:val="20"/>
        </w:rPr>
        <w:t>de profils différents</w:t>
      </w:r>
      <w:r w:rsidR="00A433A7" w:rsidRPr="00A433A7">
        <w:rPr>
          <w:rFonts w:ascii="Cambria" w:hAnsi="Cambria"/>
          <w:szCs w:val="20"/>
        </w:rPr>
        <w:t>: accueillants familiaux, enseignants à la retraite, gens de ménage, pasteur, personnes ayant perdu leur emploi suite à la crise sanitaire du Covi</w:t>
      </w:r>
      <w:r>
        <w:rPr>
          <w:rFonts w:ascii="Cambria" w:hAnsi="Cambria"/>
          <w:szCs w:val="20"/>
        </w:rPr>
        <w:t>d</w:t>
      </w:r>
      <w:r w:rsidR="00A433A7" w:rsidRPr="00A433A7">
        <w:rPr>
          <w:rFonts w:ascii="Cambria" w:hAnsi="Cambria"/>
          <w:szCs w:val="20"/>
        </w:rPr>
        <w:t>,</w:t>
      </w:r>
      <w:r>
        <w:rPr>
          <w:rFonts w:ascii="Cambria" w:hAnsi="Cambria"/>
          <w:szCs w:val="20"/>
        </w:rPr>
        <w:t xml:space="preserve"> etc. Les participants</w:t>
      </w:r>
      <w:r w:rsidR="00A433A7" w:rsidRPr="00A433A7">
        <w:rPr>
          <w:rFonts w:ascii="Cambria" w:hAnsi="Cambria"/>
          <w:szCs w:val="20"/>
        </w:rPr>
        <w:t xml:space="preserve"> ont apprécié la richesse de cette mixité. Tou</w:t>
      </w:r>
      <w:r>
        <w:rPr>
          <w:rFonts w:ascii="Cambria" w:hAnsi="Cambria"/>
          <w:szCs w:val="20"/>
        </w:rPr>
        <w:t>s</w:t>
      </w:r>
      <w:r w:rsidR="00A433A7" w:rsidRPr="00A433A7">
        <w:rPr>
          <w:rFonts w:ascii="Cambria" w:hAnsi="Cambria"/>
          <w:szCs w:val="20"/>
        </w:rPr>
        <w:t xml:space="preserve"> ont </w:t>
      </w:r>
      <w:r>
        <w:rPr>
          <w:rFonts w:ascii="Cambria" w:hAnsi="Cambria"/>
          <w:szCs w:val="20"/>
        </w:rPr>
        <w:t>exprimé leur satisfaction quan</w:t>
      </w:r>
      <w:r w:rsidR="00DF408D">
        <w:rPr>
          <w:rFonts w:ascii="Cambria" w:hAnsi="Cambria"/>
          <w:szCs w:val="20"/>
        </w:rPr>
        <w:t>d</w:t>
      </w:r>
      <w:bookmarkStart w:id="0" w:name="_GoBack"/>
      <w:bookmarkEnd w:id="0"/>
      <w:r>
        <w:rPr>
          <w:rFonts w:ascii="Cambria" w:hAnsi="Cambria"/>
          <w:szCs w:val="20"/>
        </w:rPr>
        <w:t xml:space="preserve"> à</w:t>
      </w:r>
      <w:r w:rsidR="00A433A7" w:rsidRPr="00A433A7">
        <w:rPr>
          <w:rFonts w:ascii="Cambria" w:hAnsi="Cambria"/>
          <w:szCs w:val="20"/>
        </w:rPr>
        <w:t xml:space="preserve"> cette opportunité qui leur </w:t>
      </w:r>
      <w:r>
        <w:rPr>
          <w:rFonts w:ascii="Cambria" w:hAnsi="Cambria"/>
          <w:szCs w:val="20"/>
        </w:rPr>
        <w:t>a été</w:t>
      </w:r>
      <w:r w:rsidR="00A433A7" w:rsidRPr="00A433A7">
        <w:rPr>
          <w:rFonts w:ascii="Cambria" w:hAnsi="Cambria"/>
          <w:szCs w:val="20"/>
        </w:rPr>
        <w:t xml:space="preserve"> offerte alors que certaines n’auraient jamais imaginé bénéficier d’une telle formation.</w:t>
      </w:r>
      <w:r>
        <w:rPr>
          <w:rFonts w:ascii="Cambria" w:hAnsi="Cambria"/>
          <w:szCs w:val="20"/>
        </w:rPr>
        <w:t xml:space="preserve"> </w:t>
      </w:r>
      <w:r w:rsidR="00A433A7" w:rsidRPr="00A433A7">
        <w:rPr>
          <w:rFonts w:ascii="Cambria" w:hAnsi="Cambria"/>
          <w:szCs w:val="20"/>
        </w:rPr>
        <w:t>Ils en sont ressortis avec « beaucoup d’assurance personnelle »</w:t>
      </w:r>
      <w:r>
        <w:rPr>
          <w:rFonts w:ascii="Cambria" w:hAnsi="Cambria"/>
          <w:szCs w:val="20"/>
        </w:rPr>
        <w:t>. I</w:t>
      </w:r>
      <w:r w:rsidR="00A433A7" w:rsidRPr="00A433A7">
        <w:rPr>
          <w:rFonts w:ascii="Cambria" w:hAnsi="Cambria"/>
          <w:szCs w:val="20"/>
        </w:rPr>
        <w:t>ls ont appris à écouter l’autre sans juger et à observer sans interpréter</w:t>
      </w:r>
      <w:r>
        <w:rPr>
          <w:rFonts w:ascii="Cambria" w:hAnsi="Cambria"/>
          <w:szCs w:val="20"/>
        </w:rPr>
        <w:t>. Il</w:t>
      </w:r>
      <w:r w:rsidR="00A433A7" w:rsidRPr="00A433A7">
        <w:rPr>
          <w:rFonts w:ascii="Cambria" w:hAnsi="Cambria"/>
          <w:szCs w:val="20"/>
        </w:rPr>
        <w:t xml:space="preserve">s ont une meilleure perception des situations qu’ils vivent en famille et au travail ce qui leur donne une capacité à réagir de façon plus adaptée. </w:t>
      </w:r>
    </w:p>
    <w:p w14:paraId="12CC90E4" w14:textId="66ED322F" w:rsidR="00A433A7" w:rsidRPr="00A433A7" w:rsidRDefault="005527BC" w:rsidP="005527BC">
      <w:pPr>
        <w:overflowPunct w:val="0"/>
        <w:autoSpaceDE w:val="0"/>
        <w:autoSpaceDN w:val="0"/>
        <w:adjustRightInd w:val="0"/>
        <w:spacing w:before="100" w:beforeAutospacing="1" w:after="100" w:afterAutospacing="1"/>
        <w:jc w:val="both"/>
        <w:textAlignment w:val="baseline"/>
        <w:rPr>
          <w:rFonts w:ascii="Cambria" w:hAnsi="Cambria"/>
          <w:szCs w:val="20"/>
        </w:rPr>
      </w:pPr>
      <w:r>
        <w:rPr>
          <w:rFonts w:ascii="Cambria" w:hAnsi="Cambria"/>
          <w:szCs w:val="20"/>
        </w:rPr>
        <w:t xml:space="preserve">Les participants à ces ateliers </w:t>
      </w:r>
      <w:r w:rsidR="00A433A7" w:rsidRPr="00A433A7">
        <w:rPr>
          <w:rFonts w:ascii="Cambria" w:hAnsi="Cambria"/>
          <w:szCs w:val="20"/>
        </w:rPr>
        <w:t xml:space="preserve">sont </w:t>
      </w:r>
      <w:r>
        <w:rPr>
          <w:rFonts w:ascii="Cambria" w:hAnsi="Cambria"/>
          <w:szCs w:val="20"/>
        </w:rPr>
        <w:t xml:space="preserve">ainsi </w:t>
      </w:r>
      <w:r w:rsidR="00A433A7" w:rsidRPr="00A433A7">
        <w:rPr>
          <w:rFonts w:ascii="Cambria" w:hAnsi="Cambria"/>
          <w:szCs w:val="20"/>
        </w:rPr>
        <w:t>convaincus « que ce programme pourra changer et améliorer la vie des personne</w:t>
      </w:r>
      <w:r>
        <w:rPr>
          <w:rFonts w:ascii="Cambria" w:hAnsi="Cambria"/>
          <w:szCs w:val="20"/>
        </w:rPr>
        <w:t>s qui ont besoin d’aide » et</w:t>
      </w:r>
      <w:r w:rsidR="00A433A7" w:rsidRPr="00A433A7">
        <w:rPr>
          <w:rFonts w:ascii="Cambria" w:hAnsi="Cambria"/>
          <w:szCs w:val="20"/>
        </w:rPr>
        <w:t xml:space="preserve"> souhaitent « que cette formation s’étende au maximum afin que la paix et la sérénité règne dans nos familles et que la violence sous toutes ses formes disparaisse de nos foyers ».</w:t>
      </w:r>
    </w:p>
    <w:p w14:paraId="4CDF478E" w14:textId="77777777" w:rsidR="00A433A7" w:rsidRPr="00A433A7" w:rsidRDefault="00A433A7" w:rsidP="00A433A7">
      <w:pPr>
        <w:pStyle w:val="-LettreTexteGEDA"/>
        <w:tabs>
          <w:tab w:val="left" w:pos="6804"/>
        </w:tabs>
        <w:rPr>
          <w:rFonts w:ascii="Cambria" w:eastAsia="Arial Unicode MS" w:hAnsi="Cambria"/>
          <w:sz w:val="2"/>
        </w:rPr>
      </w:pPr>
      <w:r w:rsidRPr="00A433A7">
        <w:rPr>
          <w:rFonts w:ascii="Cambria" w:hAnsi="Cambria"/>
          <w:noProof w:val="0"/>
        </w:rPr>
        <w:tab/>
      </w:r>
    </w:p>
    <w:p w14:paraId="204F0B05" w14:textId="26CF8398" w:rsidR="00A433A7" w:rsidRPr="005527BC" w:rsidRDefault="00A433A7" w:rsidP="005527BC">
      <w:pPr>
        <w:pStyle w:val="-LettreObjetGEDA"/>
        <w:tabs>
          <w:tab w:val="left" w:pos="709"/>
        </w:tabs>
        <w:ind w:left="0" w:firstLine="0"/>
        <w:rPr>
          <w:rFonts w:ascii="Cambria" w:hAnsi="Cambria"/>
          <w:b/>
          <w:noProof w:val="0"/>
        </w:rPr>
      </w:pPr>
      <w:r w:rsidRPr="005527BC">
        <w:rPr>
          <w:rFonts w:ascii="Cambria" w:hAnsi="Cambria"/>
          <w:b/>
          <w:noProof w:val="0"/>
        </w:rPr>
        <w:t xml:space="preserve">Journée de lutte contre </w:t>
      </w:r>
      <w:r w:rsidR="005527BC" w:rsidRPr="005527BC">
        <w:rPr>
          <w:rFonts w:ascii="Cambria" w:hAnsi="Cambria"/>
          <w:b/>
          <w:noProof w:val="0"/>
        </w:rPr>
        <w:t>les violences faites aux femmes</w:t>
      </w:r>
    </w:p>
    <w:p w14:paraId="253326AF" w14:textId="77777777" w:rsidR="005527BC" w:rsidRDefault="005527BC" w:rsidP="005527BC">
      <w:pPr>
        <w:pStyle w:val="-LettreTexteGEDA"/>
        <w:ind w:firstLine="0"/>
        <w:rPr>
          <w:rFonts w:ascii="Cambria" w:hAnsi="Cambria"/>
          <w:noProof w:val="0"/>
        </w:rPr>
      </w:pPr>
    </w:p>
    <w:p w14:paraId="5BD3FD93" w14:textId="77777777" w:rsidR="00A433A7" w:rsidRPr="00A433A7" w:rsidRDefault="00A433A7" w:rsidP="005527BC">
      <w:pPr>
        <w:pStyle w:val="-LettreTexteGEDA"/>
        <w:ind w:firstLine="0"/>
        <w:rPr>
          <w:rFonts w:ascii="Cambria" w:hAnsi="Cambria"/>
          <w:noProof w:val="0"/>
        </w:rPr>
      </w:pPr>
      <w:r w:rsidRPr="00A433A7">
        <w:rPr>
          <w:rFonts w:ascii="Cambria" w:hAnsi="Cambria"/>
          <w:noProof w:val="0"/>
        </w:rPr>
        <w:t>Afin de lutter contre les violences conjugales, la Direction des Solidarités, de la Famille et de l’Egalité (DSFE) a pris le parti de développer des actions visant à encourager la communication au sein du couple.</w:t>
      </w:r>
    </w:p>
    <w:p w14:paraId="6EB3C4B2" w14:textId="124A0262" w:rsidR="00A433A7" w:rsidRPr="00A433A7" w:rsidRDefault="00A433A7" w:rsidP="005527BC">
      <w:pPr>
        <w:pStyle w:val="-LettreTexteGEDA"/>
        <w:ind w:firstLine="0"/>
        <w:rPr>
          <w:rFonts w:ascii="Cambria" w:hAnsi="Cambria"/>
          <w:noProof w:val="0"/>
        </w:rPr>
      </w:pPr>
      <w:r w:rsidRPr="00A433A7">
        <w:rPr>
          <w:rFonts w:ascii="Cambria" w:hAnsi="Cambria"/>
          <w:noProof w:val="0"/>
        </w:rPr>
        <w:t xml:space="preserve">Ainsi, une première campagne de communication visuelle a été réalisée en utilisant comme support la façade arrière des </w:t>
      </w:r>
      <w:proofErr w:type="spellStart"/>
      <w:r w:rsidRPr="00A433A7">
        <w:rPr>
          <w:rFonts w:ascii="Cambria" w:hAnsi="Cambria"/>
          <w:noProof w:val="0"/>
        </w:rPr>
        <w:t>Util’bus</w:t>
      </w:r>
      <w:proofErr w:type="spellEnd"/>
      <w:r w:rsidRPr="00A433A7">
        <w:rPr>
          <w:rFonts w:ascii="Cambria" w:hAnsi="Cambria"/>
          <w:noProof w:val="0"/>
        </w:rPr>
        <w:t xml:space="preserve"> de </w:t>
      </w:r>
      <w:proofErr w:type="spellStart"/>
      <w:r w:rsidRPr="00A433A7">
        <w:rPr>
          <w:rFonts w:ascii="Cambria" w:hAnsi="Cambria"/>
          <w:noProof w:val="0"/>
        </w:rPr>
        <w:t>Taiarapu</w:t>
      </w:r>
      <w:proofErr w:type="spellEnd"/>
      <w:r w:rsidRPr="00A433A7">
        <w:rPr>
          <w:rFonts w:ascii="Cambria" w:hAnsi="Cambria"/>
          <w:noProof w:val="0"/>
        </w:rPr>
        <w:t xml:space="preserve">-Est et Pirae, (fin 2019 et 2020). Le message principal «  Te </w:t>
      </w:r>
      <w:proofErr w:type="spellStart"/>
      <w:r w:rsidRPr="00A433A7">
        <w:rPr>
          <w:rFonts w:ascii="Cambria" w:hAnsi="Cambria"/>
          <w:noProof w:val="0"/>
        </w:rPr>
        <w:t>here</w:t>
      </w:r>
      <w:proofErr w:type="spellEnd"/>
      <w:r w:rsidRPr="00A433A7">
        <w:rPr>
          <w:rFonts w:ascii="Cambria" w:hAnsi="Cambria"/>
          <w:noProof w:val="0"/>
        </w:rPr>
        <w:t xml:space="preserve"> to </w:t>
      </w:r>
      <w:proofErr w:type="spellStart"/>
      <w:r w:rsidRPr="00A433A7">
        <w:rPr>
          <w:rFonts w:ascii="Cambria" w:hAnsi="Cambria"/>
          <w:noProof w:val="0"/>
        </w:rPr>
        <w:t>taua</w:t>
      </w:r>
      <w:proofErr w:type="spellEnd"/>
      <w:r w:rsidRPr="00A433A7">
        <w:rPr>
          <w:rFonts w:ascii="Cambria" w:hAnsi="Cambria"/>
          <w:noProof w:val="0"/>
        </w:rPr>
        <w:t xml:space="preserve"> </w:t>
      </w:r>
      <w:proofErr w:type="spellStart"/>
      <w:r w:rsidRPr="00A433A7">
        <w:rPr>
          <w:rFonts w:ascii="Cambria" w:hAnsi="Cambria"/>
          <w:noProof w:val="0"/>
        </w:rPr>
        <w:t>ia</w:t>
      </w:r>
      <w:proofErr w:type="spellEnd"/>
      <w:r w:rsidRPr="00A433A7">
        <w:rPr>
          <w:rFonts w:ascii="Cambria" w:hAnsi="Cambria"/>
          <w:noProof w:val="0"/>
        </w:rPr>
        <w:t xml:space="preserve"> puai »</w:t>
      </w:r>
      <w:r w:rsidR="005527BC">
        <w:rPr>
          <w:rFonts w:ascii="Cambria" w:hAnsi="Cambria"/>
          <w:noProof w:val="0"/>
        </w:rPr>
        <w:t>,</w:t>
      </w:r>
      <w:r w:rsidRPr="00A433A7">
        <w:rPr>
          <w:rFonts w:ascii="Cambria" w:hAnsi="Cambria"/>
          <w:noProof w:val="0"/>
        </w:rPr>
        <w:t xml:space="preserve"> illustre le fait que l’amour, l’échange et la communication</w:t>
      </w:r>
      <w:r w:rsidR="005527BC">
        <w:rPr>
          <w:rFonts w:ascii="Cambria" w:hAnsi="Cambria"/>
          <w:noProof w:val="0"/>
        </w:rPr>
        <w:t>,</w:t>
      </w:r>
      <w:r w:rsidRPr="00A433A7">
        <w:rPr>
          <w:rFonts w:ascii="Cambria" w:hAnsi="Cambria"/>
          <w:noProof w:val="0"/>
        </w:rPr>
        <w:t xml:space="preserve"> constituent les racines et la force d’un couple.</w:t>
      </w:r>
    </w:p>
    <w:p w14:paraId="018DC7C5" w14:textId="77777777" w:rsidR="00A433A7" w:rsidRPr="00A433A7" w:rsidRDefault="00A433A7" w:rsidP="005527BC">
      <w:pPr>
        <w:pStyle w:val="-LettreTexteGEDA"/>
        <w:ind w:firstLine="0"/>
        <w:rPr>
          <w:rFonts w:ascii="Cambria" w:hAnsi="Cambria"/>
          <w:noProof w:val="0"/>
        </w:rPr>
      </w:pPr>
      <w:r w:rsidRPr="00A433A7">
        <w:rPr>
          <w:rFonts w:ascii="Cambria" w:hAnsi="Cambria"/>
          <w:noProof w:val="0"/>
        </w:rPr>
        <w:t>Dans la continuité de la campagne de communication visuelle, une campagne d’affichage a précisé ce premier message en ciblant principalement un public jeune (souvent le plus à même de s’imprégner de messages de prévention primaire). Ces supports ont largement été diffusés dans les circonscriptions relevant de la DSFE, dans les communes ainsi que dans les lycées.</w:t>
      </w:r>
    </w:p>
    <w:p w14:paraId="373581A5" w14:textId="77777777" w:rsidR="00A433A7" w:rsidRPr="00A433A7" w:rsidRDefault="00A433A7" w:rsidP="005527BC">
      <w:pPr>
        <w:pStyle w:val="-LettreTexteGEDA"/>
        <w:ind w:firstLine="0"/>
        <w:rPr>
          <w:rFonts w:ascii="Cambria" w:hAnsi="Cambria"/>
          <w:noProof w:val="0"/>
        </w:rPr>
      </w:pPr>
      <w:r w:rsidRPr="00A433A7">
        <w:rPr>
          <w:rFonts w:ascii="Cambria" w:hAnsi="Cambria"/>
          <w:noProof w:val="0"/>
        </w:rPr>
        <w:t>Cette première approche visait ainsi des jeunes inscrits dans une relation récente. Le principal objectif était d’insister sur l’importance du dialogue, de l’écoute et du respect mutuel.</w:t>
      </w:r>
    </w:p>
    <w:p w14:paraId="1ABB6FCF" w14:textId="295742D7" w:rsidR="00A433A7" w:rsidRPr="00A433A7" w:rsidRDefault="00A433A7" w:rsidP="005527BC">
      <w:pPr>
        <w:pStyle w:val="-LettreTexteGEDA"/>
        <w:ind w:firstLine="0"/>
        <w:rPr>
          <w:rFonts w:ascii="Cambria" w:hAnsi="Cambria"/>
          <w:noProof w:val="0"/>
        </w:rPr>
      </w:pPr>
      <w:r w:rsidRPr="00A433A7">
        <w:rPr>
          <w:rFonts w:ascii="Cambria" w:hAnsi="Cambria"/>
          <w:noProof w:val="0"/>
        </w:rPr>
        <w:t>Dans un premie</w:t>
      </w:r>
      <w:r w:rsidR="005527BC">
        <w:rPr>
          <w:rFonts w:ascii="Cambria" w:hAnsi="Cambria"/>
          <w:noProof w:val="0"/>
        </w:rPr>
        <w:t>r temps, et à l’occasion de la J</w:t>
      </w:r>
      <w:r w:rsidRPr="00A433A7">
        <w:rPr>
          <w:rFonts w:ascii="Cambria" w:hAnsi="Cambria"/>
          <w:noProof w:val="0"/>
        </w:rPr>
        <w:t>ournée de lutte contre les violences faites aux femmes le 25 novembre, des visuels sur le thème retenu feront l’objet d’une diffusion sur les réseaux sociaux. Par la suite</w:t>
      </w:r>
      <w:r w:rsidR="005527BC">
        <w:rPr>
          <w:rFonts w:ascii="Cambria" w:hAnsi="Cambria"/>
          <w:noProof w:val="0"/>
        </w:rPr>
        <w:t>,</w:t>
      </w:r>
      <w:r w:rsidRPr="00A433A7">
        <w:rPr>
          <w:rFonts w:ascii="Cambria" w:hAnsi="Cambria"/>
          <w:noProof w:val="0"/>
        </w:rPr>
        <w:t xml:space="preserve"> et dès que possible, en</w:t>
      </w:r>
      <w:r w:rsidR="005527BC">
        <w:rPr>
          <w:rFonts w:ascii="Cambria" w:hAnsi="Cambria"/>
          <w:noProof w:val="0"/>
        </w:rPr>
        <w:t xml:space="preserve"> fonction</w:t>
      </w:r>
      <w:r w:rsidRPr="00A433A7">
        <w:rPr>
          <w:rFonts w:ascii="Cambria" w:hAnsi="Cambria"/>
          <w:noProof w:val="0"/>
        </w:rPr>
        <w:t xml:space="preserve"> des contraintes d’édition et d’impression, des affiches seront produites et viendront compléter la campagne sur les réseaux sociaux.</w:t>
      </w:r>
    </w:p>
    <w:p w14:paraId="1EB05B11" w14:textId="6EA26893" w:rsidR="007B292A" w:rsidRDefault="00A433A7" w:rsidP="007B292A">
      <w:pPr>
        <w:pStyle w:val="-LettreTexteGEDA"/>
        <w:ind w:firstLine="0"/>
        <w:rPr>
          <w:rFonts w:ascii="Cambria" w:hAnsi="Cambria"/>
          <w:noProof w:val="0"/>
        </w:rPr>
      </w:pPr>
      <w:r w:rsidRPr="00A433A7">
        <w:rPr>
          <w:rFonts w:ascii="Cambria" w:hAnsi="Cambria"/>
          <w:noProof w:val="0"/>
        </w:rPr>
        <w:t>Enfin, en 2021, ce projet entrera dans une deuxième phase qui repose sur l’expérience de couples prêts à communiquer sur leur vécu, leurs tranches de vie, leurs échecs ou leurs réussites.</w:t>
      </w:r>
      <w:r w:rsidR="005527BC">
        <w:rPr>
          <w:rFonts w:ascii="Cambria" w:hAnsi="Cambria"/>
          <w:noProof w:val="0"/>
        </w:rPr>
        <w:t xml:space="preserve"> </w:t>
      </w:r>
      <w:r w:rsidRPr="00A433A7">
        <w:rPr>
          <w:rFonts w:ascii="Cambria" w:hAnsi="Cambria"/>
          <w:noProof w:val="0"/>
        </w:rPr>
        <w:t xml:space="preserve">Insister sur la communication bienveillante dans le couple, sur la solidarité, donner à voir des exemples de couples résilients sont tout autant de thèmes inscrits dans une même logique de prévention. </w:t>
      </w:r>
    </w:p>
    <w:p w14:paraId="50AA38F9" w14:textId="77777777" w:rsidR="00AF0484" w:rsidRDefault="00AF0484" w:rsidP="007B292A">
      <w:pPr>
        <w:pStyle w:val="-LettreTexteGEDA"/>
        <w:ind w:firstLine="0"/>
        <w:rPr>
          <w:rFonts w:ascii="Cambria" w:hAnsi="Cambria"/>
          <w:noProof w:val="0"/>
        </w:rPr>
      </w:pPr>
    </w:p>
    <w:p w14:paraId="5D1DFC72" w14:textId="77777777" w:rsidR="00AF0484" w:rsidRDefault="00AF0484" w:rsidP="00AF0484">
      <w:pPr>
        <w:pStyle w:val="-LettreTexteGEDA"/>
        <w:ind w:firstLine="0"/>
        <w:rPr>
          <w:rFonts w:ascii="Cambria" w:hAnsi="Cambria"/>
          <w:b/>
          <w:bCs/>
          <w:szCs w:val="24"/>
        </w:rPr>
      </w:pPr>
      <w:r>
        <w:rPr>
          <w:rFonts w:ascii="Cambria" w:hAnsi="Cambria"/>
          <w:b/>
          <w:bCs/>
        </w:rPr>
        <w:lastRenderedPageBreak/>
        <w:t xml:space="preserve">Mesures sociales résultant de la crise sanitaire </w:t>
      </w:r>
    </w:p>
    <w:p w14:paraId="626A83A5" w14:textId="77777777" w:rsidR="00AF0484" w:rsidRDefault="00AF0484" w:rsidP="00AF0484">
      <w:pPr>
        <w:pStyle w:val="-LettreTexteGEDA"/>
        <w:ind w:firstLine="0"/>
        <w:rPr>
          <w:rFonts w:ascii="Cambria" w:hAnsi="Cambria"/>
          <w:b/>
          <w:bCs/>
        </w:rPr>
      </w:pPr>
    </w:p>
    <w:p w14:paraId="2B492FCD" w14:textId="77777777" w:rsidR="00AF0484" w:rsidRDefault="00AF0484" w:rsidP="00AF0484">
      <w:pPr>
        <w:pStyle w:val="-LettreTexteGEDA"/>
        <w:spacing w:before="100" w:beforeAutospacing="1" w:after="100" w:afterAutospacing="1"/>
        <w:ind w:firstLine="0"/>
        <w:rPr>
          <w:rFonts w:ascii="Cambria" w:hAnsi="Cambria"/>
        </w:rPr>
      </w:pPr>
      <w:r>
        <w:rPr>
          <w:rFonts w:ascii="Cambria" w:hAnsi="Cambria"/>
        </w:rPr>
        <w:t xml:space="preserve">La crise sanitaire qui touche actuellement la Polynésie française impacte fortement les budgets d’aides sociales et notamment celui du Régime de Solidarité de la Polynésie française (RSPF). Avec un budget primitif à 1 931 000 000 Fcfp, puis réajusté à 2 489 000 000 Fcfp au mois de juin pour faire face aux nouveaux besoins des familes résultant de la crise sanitaire en matière sociale, force est de constater que même avec l’augmentation des budgets essentiels, la consommation du budget du fonds d’action social du RSPF s’élève déjà en moyenne à plus de 87 % malgré une réévaluation concernant : </w:t>
      </w:r>
    </w:p>
    <w:p w14:paraId="31BBA3AA" w14:textId="77777777" w:rsidR="00AF0484" w:rsidRDefault="00AF0484" w:rsidP="00AF0484">
      <w:pPr>
        <w:pStyle w:val="-LettreTexteGEDA"/>
        <w:numPr>
          <w:ilvl w:val="0"/>
          <w:numId w:val="6"/>
        </w:numPr>
        <w:adjustRightInd/>
        <w:spacing w:before="100" w:beforeAutospacing="1" w:after="100" w:afterAutospacing="1"/>
        <w:ind w:left="0" w:firstLine="709"/>
        <w:rPr>
          <w:rFonts w:ascii="Cambria" w:hAnsi="Cambria"/>
        </w:rPr>
      </w:pPr>
      <w:r>
        <w:rPr>
          <w:rFonts w:ascii="Cambria" w:hAnsi="Cambria"/>
        </w:rPr>
        <w:t>Les « aides de première nécessité » de 317 à 672 millions Fcfp;</w:t>
      </w:r>
    </w:p>
    <w:p w14:paraId="06828295" w14:textId="77777777" w:rsidR="00AF0484" w:rsidRDefault="00AF0484" w:rsidP="00AF0484">
      <w:pPr>
        <w:pStyle w:val="-LettreTexteGEDA"/>
        <w:numPr>
          <w:ilvl w:val="0"/>
          <w:numId w:val="6"/>
        </w:numPr>
        <w:adjustRightInd/>
        <w:spacing w:before="100" w:beforeAutospacing="1" w:after="100" w:afterAutospacing="1"/>
        <w:ind w:left="0" w:firstLine="709"/>
        <w:rPr>
          <w:rFonts w:ascii="Cambria" w:hAnsi="Cambria"/>
        </w:rPr>
      </w:pPr>
      <w:r>
        <w:rPr>
          <w:rFonts w:ascii="Cambria" w:hAnsi="Cambria"/>
        </w:rPr>
        <w:t>Les aides liées à la « Protection des publics vulnérables » de 448 à 561 millions Fcfp;</w:t>
      </w:r>
    </w:p>
    <w:p w14:paraId="57D84F17" w14:textId="77777777" w:rsidR="00AF0484" w:rsidRDefault="00AF0484" w:rsidP="00AF0484">
      <w:pPr>
        <w:pStyle w:val="-LettreTexteGEDA"/>
        <w:numPr>
          <w:ilvl w:val="0"/>
          <w:numId w:val="6"/>
        </w:numPr>
        <w:adjustRightInd/>
        <w:spacing w:before="100" w:beforeAutospacing="1" w:after="100" w:afterAutospacing="1"/>
        <w:ind w:left="0" w:firstLine="709"/>
        <w:rPr>
          <w:rFonts w:ascii="Cambria" w:hAnsi="Cambria"/>
        </w:rPr>
      </w:pPr>
      <w:r>
        <w:rPr>
          <w:rFonts w:ascii="Cambria" w:hAnsi="Cambria"/>
        </w:rPr>
        <w:t>Les aides allouées aux associations au travers des « Programmes d’action sociale » pour un budget de 33,8 à 85 millions Fcfp;</w:t>
      </w:r>
    </w:p>
    <w:p w14:paraId="205F11B4" w14:textId="77777777" w:rsidR="00AF0484" w:rsidRDefault="00AF0484" w:rsidP="00AF0484">
      <w:pPr>
        <w:pStyle w:val="-LettreTexteGEDA"/>
        <w:numPr>
          <w:ilvl w:val="0"/>
          <w:numId w:val="6"/>
        </w:numPr>
        <w:adjustRightInd/>
        <w:spacing w:before="100" w:beforeAutospacing="1" w:after="100" w:afterAutospacing="1"/>
        <w:ind w:left="0" w:firstLine="709"/>
        <w:rPr>
          <w:rFonts w:ascii="Cambria" w:hAnsi="Cambria"/>
        </w:rPr>
      </w:pPr>
      <w:r>
        <w:rPr>
          <w:rFonts w:ascii="Cambria" w:hAnsi="Cambria"/>
        </w:rPr>
        <w:t>Et celui des « aides exceptionnelles » qui évolue de 15 à 60 millions Fcfp.</w:t>
      </w:r>
    </w:p>
    <w:p w14:paraId="7A36F2E4" w14:textId="77777777" w:rsidR="00AF0484" w:rsidRDefault="00AF0484" w:rsidP="00AF0484">
      <w:pPr>
        <w:pStyle w:val="-LettreTexteGEDA"/>
        <w:spacing w:before="100" w:beforeAutospacing="1" w:after="100" w:afterAutospacing="1"/>
        <w:ind w:firstLine="0"/>
        <w:rPr>
          <w:rFonts w:ascii="Cambria" w:hAnsi="Cambria"/>
        </w:rPr>
      </w:pPr>
      <w:r>
        <w:rPr>
          <w:rFonts w:ascii="Cambria" w:hAnsi="Cambria"/>
        </w:rPr>
        <w:t>De même, à budget constant, le FAS (Fonds d’action sociale) du régime des non salariés (200 millions Fcfp), atteint le même taux de consommation, alors que le budget des aides sociales du RGS (régime des salariés) totalement consommé a dû être réabondé par un transfert de crédit du budget des aides sanitaires, géré par la CPS (Caisse de prévoyance sociale), à celui des aides sociales géré par la DSFE (Direction des solidarités, de la famille et de l’égalité).</w:t>
      </w:r>
    </w:p>
    <w:p w14:paraId="29110021" w14:textId="77777777" w:rsidR="00AF0484" w:rsidRDefault="00AF0484" w:rsidP="00AF0484">
      <w:pPr>
        <w:pStyle w:val="-LettreTexteGEDA"/>
        <w:spacing w:before="100" w:beforeAutospacing="1" w:after="100" w:afterAutospacing="1"/>
        <w:ind w:firstLine="0"/>
        <w:rPr>
          <w:rFonts w:ascii="Cambria" w:hAnsi="Cambria"/>
        </w:rPr>
      </w:pPr>
      <w:r>
        <w:rPr>
          <w:rFonts w:ascii="Cambria" w:hAnsi="Cambria"/>
        </w:rPr>
        <w:t>Au-delà de ces taux de consommation très important, la crise sanitaire révèle aujourd’hui un « nouveau public », peu familiarisé avec les aides sociales: les salariés touchés par une baisse de revenu trop importante pour faire face au paiement de leurs charges mensuelles telles que le paiement du loyer, les salariés d’hier, ressortissants RSPF aujourd’hui, les étudiants dont les parents ne sont plus en capacité de soutenir leur scolarité et les ressortissants RNS (régime des non-salariés) en activité réduite.</w:t>
      </w:r>
    </w:p>
    <w:p w14:paraId="2D587FC0" w14:textId="195D7C30" w:rsidR="00AF0484" w:rsidRDefault="00AF0484" w:rsidP="00AF0484">
      <w:pPr>
        <w:pStyle w:val="-LettreTexteGEDA"/>
        <w:spacing w:before="100" w:beforeAutospacing="1" w:after="100" w:afterAutospacing="1"/>
        <w:ind w:firstLine="0"/>
        <w:rPr>
          <w:rFonts w:ascii="Cambria" w:hAnsi="Cambria"/>
        </w:rPr>
      </w:pPr>
      <w:r>
        <w:rPr>
          <w:rFonts w:ascii="Cambria" w:hAnsi="Cambria"/>
        </w:rPr>
        <w:t xml:space="preserve">Ainsi, depuis le début de janvier à fin octobre 2020, ce sont près de 24 610 demandeurs d’aides de première nécéssité (pour 48 768 bénéficiaires) qui ont sollicité les circonscriptions de la DSFE. Ce total est en hausse de plus de 8 300 nouveaux demandeurs d’aides de première nécéssité (pour 12 018 bénéficiaires) par rapport à l’exercice 2019, deux mois avant la cloture de l’exercice budgétaire, avec également une très grande mobilisation des travailleurs sociaux. </w:t>
      </w:r>
    </w:p>
    <w:p w14:paraId="3271FA48" w14:textId="77777777" w:rsidR="00AF0484" w:rsidRDefault="00AF0484" w:rsidP="007B292A">
      <w:pPr>
        <w:pStyle w:val="default"/>
        <w:jc w:val="both"/>
        <w:rPr>
          <w:rFonts w:ascii="Cambria" w:eastAsia="Times New Roman" w:hAnsi="Cambria"/>
          <w:szCs w:val="20"/>
        </w:rPr>
      </w:pPr>
    </w:p>
    <w:p w14:paraId="12347CEE" w14:textId="77777777" w:rsidR="007B292A" w:rsidRDefault="007B292A" w:rsidP="007B292A">
      <w:pPr>
        <w:pStyle w:val="default"/>
        <w:jc w:val="both"/>
        <w:rPr>
          <w:rFonts w:ascii="Cambria" w:hAnsi="Cambria"/>
          <w:b/>
          <w:bCs/>
        </w:rPr>
      </w:pPr>
      <w:r>
        <w:rPr>
          <w:rFonts w:ascii="Cambria" w:hAnsi="Cambria"/>
          <w:b/>
          <w:bCs/>
        </w:rPr>
        <w:t>Distribution de masques aux personnes vulnérables</w:t>
      </w:r>
    </w:p>
    <w:p w14:paraId="02A9690B" w14:textId="77777777" w:rsidR="007B292A" w:rsidRDefault="007B292A" w:rsidP="007B292A">
      <w:pPr>
        <w:pStyle w:val="-LettreTexteGEDA"/>
        <w:ind w:firstLine="0"/>
        <w:rPr>
          <w:rFonts w:ascii="Cambria" w:hAnsi="Cambria"/>
        </w:rPr>
      </w:pPr>
      <w:r>
        <w:rPr>
          <w:rFonts w:ascii="Cambria" w:hAnsi="Cambria"/>
          <w:lang w:eastAsia="en-US"/>
        </w:rPr>
        <w:t xml:space="preserve">Les </w:t>
      </w:r>
      <w:r>
        <w:rPr>
          <w:rFonts w:ascii="Cambria" w:hAnsi="Cambria"/>
        </w:rPr>
        <w:t xml:space="preserve">autorités scientifiques mondiales sont unanimes sur la nécessité du port du masque pour lutter efficacement, en complément des gestes barrières, contre la propagation du     Sars-CoV-2 (Covid-19). Les autorités du Pays et de l’Etat ont, sur ces indications, pris rapidement les mesures de protection qui s’imposaient. </w:t>
      </w:r>
    </w:p>
    <w:p w14:paraId="382F6F69" w14:textId="77777777" w:rsidR="007B292A" w:rsidRDefault="007B292A" w:rsidP="007B292A">
      <w:pPr>
        <w:pStyle w:val="-LettreTexteGEDA"/>
        <w:ind w:firstLine="0"/>
        <w:rPr>
          <w:rFonts w:ascii="Cambria" w:hAnsi="Cambria"/>
        </w:rPr>
      </w:pPr>
      <w:r>
        <w:rPr>
          <w:rFonts w:ascii="Cambria" w:hAnsi="Cambria"/>
        </w:rPr>
        <w:lastRenderedPageBreak/>
        <w:t>Pour réagir à l’accroissement des nouveaux cas de contamination recensés depuis le mois d’août, plusieurs mesures de prévention et notamment, celle du port du masque pour toute personne âgée de onze ans ou plus, ont été prises.  Aujourd’hui, l’obligation du port du masque est généralement bien appliquée.</w:t>
      </w:r>
    </w:p>
    <w:p w14:paraId="0ED1F3A1" w14:textId="77777777" w:rsidR="007B292A" w:rsidRDefault="007B292A" w:rsidP="007B292A">
      <w:pPr>
        <w:pStyle w:val="-LettreTexteGEDA"/>
        <w:ind w:firstLine="0"/>
        <w:rPr>
          <w:rFonts w:ascii="Cambria" w:hAnsi="Cambria"/>
        </w:rPr>
      </w:pPr>
      <w:r>
        <w:rPr>
          <w:rFonts w:ascii="Cambria" w:hAnsi="Cambria"/>
        </w:rPr>
        <w:t>Depuis le début de cette crise sanitaire, le Pays a toujours pris à cœur d’accompagner les plus démunis et les plus vulnérables pour leur permettre de se doter de moyens nécessaires à leur protection. Dans cet objectif, plusieurs campagnes de distribution ont ainsi été menées par les services du Pays, pour doter de masques les structures en charge de personnes vulnérables, notamment de personnes âgées.</w:t>
      </w:r>
    </w:p>
    <w:p w14:paraId="277C21DC" w14:textId="77777777" w:rsidR="007B292A" w:rsidRDefault="007B292A" w:rsidP="007B292A">
      <w:pPr>
        <w:pStyle w:val="-LettreTexteGEDA"/>
        <w:ind w:firstLine="0"/>
        <w:rPr>
          <w:rFonts w:ascii="Cambria" w:hAnsi="Cambria"/>
        </w:rPr>
      </w:pPr>
      <w:r>
        <w:rPr>
          <w:rFonts w:ascii="Cambria" w:hAnsi="Cambria"/>
        </w:rPr>
        <w:t xml:space="preserve">En collaboration avec la Direction de la santé et l’Agence de régulation de l’action sanitaire et sociale (ARASS), la Direction des solidarités, de la famille et de l’égalité (DSFE) met à disposition, au bénéfice des établissements sociaux et médico-sociaux, des foyers associatifs, des foyers socio-éducatifs, des foyers médico-social, des unités de vie, des familles d’accueil, des accueillants familiaux ou encore, des tierces personnes ayant à charge, des personnes vulnérables, plus de 79 800 masques de protection pour la gestion de la seconde vague, en cours, de covid-19. </w:t>
      </w:r>
    </w:p>
    <w:p w14:paraId="602BBB81" w14:textId="77777777" w:rsidR="007B292A" w:rsidRDefault="007B292A" w:rsidP="007B292A">
      <w:pPr>
        <w:pStyle w:val="-LettreTexteGEDA"/>
        <w:ind w:firstLine="0"/>
        <w:rPr>
          <w:rFonts w:ascii="Cambria" w:hAnsi="Cambria"/>
        </w:rPr>
      </w:pPr>
      <w:r>
        <w:rPr>
          <w:rFonts w:ascii="Cambria" w:hAnsi="Cambria"/>
        </w:rPr>
        <w:t>Cette dotation devrait permettre de couvrir les besoins de ces structures sur deux mois, période correspondant au pic prévu de l’épidémie. A noter également, que de lors la première vague de covid-19, 40 900 masques avaient déjà été distribués à ces structures, ce qui avait contribué à préserver ces populations comptant parmi les plus fragiles.</w:t>
      </w:r>
    </w:p>
    <w:p w14:paraId="08C521C1" w14:textId="77777777" w:rsidR="007B292A" w:rsidRDefault="007B292A" w:rsidP="007B292A">
      <w:pPr>
        <w:pStyle w:val="-LettreTexteGEDA"/>
        <w:ind w:firstLine="0"/>
        <w:rPr>
          <w:rFonts w:ascii="Cambria" w:hAnsi="Cambria"/>
        </w:rPr>
      </w:pPr>
    </w:p>
    <w:p w14:paraId="5803AEA0" w14:textId="77777777" w:rsidR="00A433A7" w:rsidRPr="00A433A7" w:rsidRDefault="00A433A7" w:rsidP="009B7485">
      <w:pPr>
        <w:rPr>
          <w:rFonts w:ascii="Cambria" w:hAnsi="Cambria"/>
          <w:lang w:eastAsia="fr-FR"/>
        </w:rPr>
      </w:pPr>
    </w:p>
    <w:p w14:paraId="5E41424F" w14:textId="77777777" w:rsidR="00A433A7" w:rsidRPr="009B7485" w:rsidRDefault="00A433A7" w:rsidP="009B7485">
      <w:pPr>
        <w:rPr>
          <w:rFonts w:ascii="Cambria" w:hAnsi="Cambria"/>
          <w:lang w:eastAsia="fr-FR"/>
        </w:rPr>
      </w:pPr>
    </w:p>
    <w:p w14:paraId="3138F8AA" w14:textId="77777777" w:rsidR="00625270" w:rsidRPr="00625270" w:rsidRDefault="00625270" w:rsidP="00625270">
      <w:pPr>
        <w:spacing w:before="100" w:beforeAutospacing="1" w:after="100" w:afterAutospacing="1"/>
        <w:jc w:val="center"/>
        <w:rPr>
          <w:rFonts w:ascii="Cambria" w:hAnsi="Cambria"/>
          <w:b/>
          <w:noProof/>
          <w:sz w:val="28"/>
          <w:szCs w:val="28"/>
          <w:lang w:eastAsia="fr-FR"/>
        </w:rPr>
      </w:pPr>
      <w:r w:rsidRPr="00625270">
        <w:rPr>
          <w:rFonts w:ascii="Cambria" w:hAnsi="Cambria" w:cs="Century Schoolbook"/>
        </w:rPr>
        <w:t>-o-o-o-o-o-</w:t>
      </w:r>
    </w:p>
    <w:p w14:paraId="27962601" w14:textId="2B4001E9" w:rsidR="00625270" w:rsidRDefault="00625270"/>
    <w:sectPr w:rsidR="00625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D28B8"/>
    <w:multiLevelType w:val="hybridMultilevel"/>
    <w:tmpl w:val="BA34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5029A3"/>
    <w:multiLevelType w:val="hybridMultilevel"/>
    <w:tmpl w:val="8722AA64"/>
    <w:lvl w:ilvl="0" w:tplc="A860F0B8">
      <w:numFmt w:val="bullet"/>
      <w:lvlText w:val="-"/>
      <w:lvlJc w:val="left"/>
      <w:pPr>
        <w:ind w:left="360" w:hanging="360"/>
      </w:pPr>
      <w:rPr>
        <w:rFonts w:ascii="Cambria" w:eastAsiaTheme="minorHAnsi" w:hAnsi="Cambri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ED26190"/>
    <w:multiLevelType w:val="hybridMultilevel"/>
    <w:tmpl w:val="F1F4C2E6"/>
    <w:lvl w:ilvl="0" w:tplc="2BE09198">
      <w:start w:val="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cs="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cs="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4">
    <w:nsid w:val="4AB41C75"/>
    <w:multiLevelType w:val="hybridMultilevel"/>
    <w:tmpl w:val="FD3A38AE"/>
    <w:lvl w:ilvl="0" w:tplc="7D00F900">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5">
    <w:nsid w:val="60975250"/>
    <w:multiLevelType w:val="hybridMultilevel"/>
    <w:tmpl w:val="40FC97FE"/>
    <w:lvl w:ilvl="0" w:tplc="040C0003">
      <w:start w:val="1"/>
      <w:numFmt w:val="bullet"/>
      <w:lvlText w:val="o"/>
      <w:lvlJc w:val="left"/>
      <w:pPr>
        <w:ind w:left="360" w:hanging="360"/>
      </w:pPr>
      <w:rPr>
        <w:rFonts w:ascii="Courier New" w:hAnsi="Courier New" w:cs="Courier New" w:hint="default"/>
      </w:rPr>
    </w:lvl>
    <w:lvl w:ilvl="1" w:tplc="2BE09198">
      <w:start w:val="3"/>
      <w:numFmt w:val="bullet"/>
      <w:lvlText w:val="-"/>
      <w:lvlJc w:val="left"/>
      <w:pPr>
        <w:ind w:left="1080" w:hanging="360"/>
      </w:pPr>
      <w:rPr>
        <w:rFonts w:ascii="Times New Roman" w:eastAsiaTheme="minorHAnsi"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1019EF"/>
    <w:rsid w:val="0014147F"/>
    <w:rsid w:val="001A6BFD"/>
    <w:rsid w:val="00203E06"/>
    <w:rsid w:val="0031295B"/>
    <w:rsid w:val="00336845"/>
    <w:rsid w:val="00453068"/>
    <w:rsid w:val="004C71F3"/>
    <w:rsid w:val="005373F0"/>
    <w:rsid w:val="005527BC"/>
    <w:rsid w:val="00617820"/>
    <w:rsid w:val="00625270"/>
    <w:rsid w:val="006676A1"/>
    <w:rsid w:val="006E6730"/>
    <w:rsid w:val="00720225"/>
    <w:rsid w:val="007B292A"/>
    <w:rsid w:val="00807CE3"/>
    <w:rsid w:val="00814C48"/>
    <w:rsid w:val="00820BBC"/>
    <w:rsid w:val="00822589"/>
    <w:rsid w:val="00890177"/>
    <w:rsid w:val="008E2E81"/>
    <w:rsid w:val="00916876"/>
    <w:rsid w:val="009263A2"/>
    <w:rsid w:val="009B7485"/>
    <w:rsid w:val="00A00B63"/>
    <w:rsid w:val="00A12C80"/>
    <w:rsid w:val="00A433A7"/>
    <w:rsid w:val="00A622C7"/>
    <w:rsid w:val="00AA1585"/>
    <w:rsid w:val="00AD364D"/>
    <w:rsid w:val="00AD4D7B"/>
    <w:rsid w:val="00AF0484"/>
    <w:rsid w:val="00B2325C"/>
    <w:rsid w:val="00B658D9"/>
    <w:rsid w:val="00B7240B"/>
    <w:rsid w:val="00BB17F3"/>
    <w:rsid w:val="00BB77F0"/>
    <w:rsid w:val="00D5697C"/>
    <w:rsid w:val="00DA7916"/>
    <w:rsid w:val="00DF408D"/>
    <w:rsid w:val="00E03ED5"/>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customStyle="1" w:styleId="default">
    <w:name w:val="default"/>
    <w:basedOn w:val="Normal"/>
    <w:uiPriority w:val="99"/>
    <w:rsid w:val="007B292A"/>
    <w:pPr>
      <w:spacing w:before="100" w:beforeAutospacing="1" w:after="100" w:afterAutospacing="1"/>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1018123781">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619026790">
      <w:bodyDiv w:val="1"/>
      <w:marLeft w:val="0"/>
      <w:marRight w:val="0"/>
      <w:marTop w:val="0"/>
      <w:marBottom w:val="0"/>
      <w:divBdr>
        <w:top w:val="none" w:sz="0" w:space="0" w:color="auto"/>
        <w:left w:val="none" w:sz="0" w:space="0" w:color="auto"/>
        <w:bottom w:val="none" w:sz="0" w:space="0" w:color="auto"/>
        <w:right w:val="none" w:sz="0" w:space="0" w:color="auto"/>
      </w:divBdr>
    </w:div>
    <w:div w:id="1706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4448</Words>
  <Characters>24468</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2020-11-26T01:01:00Z</dcterms:created>
  <dcterms:modified xsi:type="dcterms:W3CDTF">2020-11-26T01:01:00Z</dcterms:modified>
</cp:coreProperties>
</file>