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7966AF7E"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E7272E">
        <w:rPr>
          <w:rFonts w:ascii="Cambria" w:hAnsi="Cambria" w:cs="Arial"/>
          <w:b/>
          <w:i/>
        </w:rPr>
        <w:t xml:space="preserve">5 mai </w:t>
      </w:r>
      <w:r w:rsidR="00625270" w:rsidRPr="00964474">
        <w:rPr>
          <w:rFonts w:ascii="Cambria" w:hAnsi="Cambria" w:cs="Arial"/>
          <w:b/>
          <w:i/>
        </w:rPr>
        <w:t>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13FEBA0" w14:textId="11E1A437" w:rsidR="00E226B8" w:rsidRPr="008E2A4C" w:rsidRDefault="00E226B8" w:rsidP="008E2A4C">
      <w:pPr>
        <w:pStyle w:val="-LettreTexteGEDA"/>
        <w:spacing w:before="0"/>
        <w:ind w:firstLine="0"/>
        <w:rPr>
          <w:rFonts w:ascii="Cambria" w:hAnsi="Cambria"/>
          <w:b/>
          <w:bCs/>
          <w:noProof w:val="0"/>
          <w:szCs w:val="24"/>
        </w:rPr>
      </w:pPr>
    </w:p>
    <w:p w14:paraId="2F5CF627" w14:textId="77777777" w:rsidR="00C04662" w:rsidRPr="00C04662" w:rsidRDefault="00C04662" w:rsidP="00C04662">
      <w:pPr>
        <w:pStyle w:val="NormalWeb"/>
        <w:jc w:val="both"/>
        <w:rPr>
          <w:rFonts w:ascii="Cambria" w:hAnsi="Cambria"/>
        </w:rPr>
      </w:pPr>
      <w:r w:rsidRPr="00C04662">
        <w:rPr>
          <w:rStyle w:val="lev"/>
          <w:rFonts w:ascii="Cambria" w:hAnsi="Cambria"/>
        </w:rPr>
        <w:t>Point sur la procédure pour les îles Actéon : les personnes concernées appelées à se faire connaître</w:t>
      </w:r>
    </w:p>
    <w:p w14:paraId="1C5BF7A8" w14:textId="77777777" w:rsidR="00C04662" w:rsidRPr="00C04662" w:rsidRDefault="00C04662" w:rsidP="00C04662">
      <w:pPr>
        <w:pStyle w:val="NormalWeb"/>
        <w:jc w:val="both"/>
        <w:rPr>
          <w:rFonts w:ascii="Cambria" w:hAnsi="Cambria"/>
        </w:rPr>
      </w:pPr>
      <w:r w:rsidRPr="00C04662">
        <w:rPr>
          <w:rFonts w:ascii="Cambria" w:hAnsi="Cambria"/>
        </w:rPr>
        <w:t xml:space="preserve">Dans le cadre de l’affaire dite du CAMICA (ou des îles Actéon), toutes les personnes qui ont un intérêt quelconque à faire valoir dans cette affaire sont invitées à se rapprocher de Maurice Baud, désigné comme liquidateur de la Société civile immobilière de Tematangi et de la Société civile immobilière de Fangataufa et </w:t>
      </w:r>
      <w:proofErr w:type="spellStart"/>
      <w:r w:rsidRPr="00C04662">
        <w:rPr>
          <w:rFonts w:ascii="Cambria" w:hAnsi="Cambria"/>
        </w:rPr>
        <w:t>Maturei-Vavao</w:t>
      </w:r>
      <w:proofErr w:type="spellEnd"/>
      <w:r w:rsidRPr="00C04662">
        <w:rPr>
          <w:rFonts w:ascii="Cambria" w:hAnsi="Cambria"/>
        </w:rPr>
        <w:t>.</w:t>
      </w:r>
    </w:p>
    <w:p w14:paraId="0F38B86F" w14:textId="77777777" w:rsidR="00C04662" w:rsidRPr="00C04662" w:rsidRDefault="00C04662" w:rsidP="00C04662">
      <w:pPr>
        <w:pStyle w:val="NormalWeb"/>
        <w:jc w:val="both"/>
        <w:rPr>
          <w:rFonts w:ascii="Cambria" w:hAnsi="Cambria"/>
        </w:rPr>
      </w:pPr>
      <w:r w:rsidRPr="00C04662">
        <w:rPr>
          <w:rFonts w:ascii="Cambria" w:hAnsi="Cambria"/>
        </w:rPr>
        <w:t xml:space="preserve">Pour rappel, le 23 mars dernier, la Polynésie française a saisi le tribunal foncier pour annuler l’acte de notoriété acquisitive transcrit le 28 janvier 2020 aux termes duquel le CAMICA s’estime propriétaire des atolls de Tematangi, Vanavana, Maria, Matureivavao, </w:t>
      </w:r>
      <w:proofErr w:type="spellStart"/>
      <w:r w:rsidRPr="00C04662">
        <w:rPr>
          <w:rFonts w:ascii="Cambria" w:hAnsi="Cambria"/>
        </w:rPr>
        <w:t>Vahaga</w:t>
      </w:r>
      <w:proofErr w:type="spellEnd"/>
      <w:r w:rsidRPr="00C04662">
        <w:rPr>
          <w:rFonts w:ascii="Cambria" w:hAnsi="Cambria"/>
        </w:rPr>
        <w:t xml:space="preserve">, </w:t>
      </w:r>
      <w:proofErr w:type="spellStart"/>
      <w:r w:rsidRPr="00C04662">
        <w:rPr>
          <w:rFonts w:ascii="Cambria" w:hAnsi="Cambria"/>
        </w:rPr>
        <w:t>Tenania</w:t>
      </w:r>
      <w:proofErr w:type="spellEnd"/>
      <w:r w:rsidRPr="00C04662">
        <w:rPr>
          <w:rFonts w:ascii="Cambria" w:hAnsi="Cambria"/>
        </w:rPr>
        <w:t xml:space="preserve"> et Tenararo, aux Tuamotu Est.</w:t>
      </w:r>
    </w:p>
    <w:p w14:paraId="0E0829FB" w14:textId="77777777" w:rsidR="00C04662" w:rsidRPr="00C04662" w:rsidRDefault="00C04662" w:rsidP="00C04662">
      <w:pPr>
        <w:pStyle w:val="NormalWeb"/>
        <w:jc w:val="both"/>
        <w:rPr>
          <w:rFonts w:ascii="Cambria" w:hAnsi="Cambria"/>
        </w:rPr>
      </w:pPr>
      <w:r w:rsidRPr="00C04662">
        <w:rPr>
          <w:rFonts w:ascii="Cambria" w:hAnsi="Cambria"/>
        </w:rPr>
        <w:t>En parallèle de cette procédure qui nécessitera plusieurs mois avant qu’une décision ne soit rendue, le Pays a demandé au tribunal de Première instance de Papeete de désigner un mandataire judiciaire afin de mener à bien la liquidation de deux sociétés dissoutes depuis plus de 50 ans :</w:t>
      </w:r>
    </w:p>
    <w:p w14:paraId="6A3F49BD" w14:textId="77777777" w:rsidR="00C04662" w:rsidRPr="00C04662" w:rsidRDefault="00C04662" w:rsidP="00C04662">
      <w:pPr>
        <w:numPr>
          <w:ilvl w:val="0"/>
          <w:numId w:val="20"/>
        </w:numPr>
        <w:spacing w:before="100" w:beforeAutospacing="1" w:after="100" w:afterAutospacing="1"/>
        <w:jc w:val="both"/>
        <w:rPr>
          <w:rFonts w:ascii="Cambria" w:hAnsi="Cambria"/>
        </w:rPr>
      </w:pPr>
      <w:proofErr w:type="gramStart"/>
      <w:r w:rsidRPr="00C04662">
        <w:rPr>
          <w:rFonts w:ascii="Cambria" w:hAnsi="Cambria"/>
        </w:rPr>
        <w:t>la</w:t>
      </w:r>
      <w:proofErr w:type="gramEnd"/>
      <w:r w:rsidRPr="00C04662">
        <w:rPr>
          <w:rFonts w:ascii="Cambria" w:hAnsi="Cambria"/>
        </w:rPr>
        <w:t xml:space="preserve"> société civile particulière à capital et personnel variables, dénommée « Société civile immobilière de Tematangi » constituée le 18 janvier 1954, pour une durée statutaire de dix ans, soit une dissolution programmée au 18 janvier 1964 ;</w:t>
      </w:r>
    </w:p>
    <w:p w14:paraId="18FCC369" w14:textId="77777777" w:rsidR="00C04662" w:rsidRPr="00C04662" w:rsidRDefault="00C04662" w:rsidP="00C04662">
      <w:pPr>
        <w:numPr>
          <w:ilvl w:val="0"/>
          <w:numId w:val="20"/>
        </w:numPr>
        <w:spacing w:before="100" w:beforeAutospacing="1" w:after="100" w:afterAutospacing="1"/>
        <w:jc w:val="both"/>
        <w:rPr>
          <w:rFonts w:ascii="Cambria" w:hAnsi="Cambria"/>
        </w:rPr>
      </w:pPr>
      <w:proofErr w:type="gramStart"/>
      <w:r w:rsidRPr="00C04662">
        <w:rPr>
          <w:rFonts w:ascii="Cambria" w:hAnsi="Cambria"/>
        </w:rPr>
        <w:t>la</w:t>
      </w:r>
      <w:proofErr w:type="gramEnd"/>
      <w:r w:rsidRPr="00C04662">
        <w:rPr>
          <w:rFonts w:ascii="Cambria" w:hAnsi="Cambria"/>
        </w:rPr>
        <w:t xml:space="preserve"> société civile particulière à capital et personnel variables, dénommée « Société civile immobilière de Fangataufa et </w:t>
      </w:r>
      <w:proofErr w:type="spellStart"/>
      <w:r w:rsidRPr="00C04662">
        <w:rPr>
          <w:rFonts w:ascii="Cambria" w:hAnsi="Cambria"/>
        </w:rPr>
        <w:t>Maturei-Vavao</w:t>
      </w:r>
      <w:proofErr w:type="spellEnd"/>
      <w:r w:rsidRPr="00C04662">
        <w:rPr>
          <w:rFonts w:ascii="Cambria" w:hAnsi="Cambria"/>
        </w:rPr>
        <w:t> » constituée le 10 août 1955 pour une durée statutaire de quinze années à compter du 24 juillet 1956, soit une dissolution fixée au 24 juillet 1970.</w:t>
      </w:r>
    </w:p>
    <w:p w14:paraId="33E14E44" w14:textId="77777777" w:rsidR="00C04662" w:rsidRPr="00C04662" w:rsidRDefault="00C04662" w:rsidP="00C04662">
      <w:pPr>
        <w:pStyle w:val="NormalWeb"/>
        <w:jc w:val="both"/>
        <w:rPr>
          <w:rFonts w:ascii="Cambria" w:hAnsi="Cambria"/>
        </w:rPr>
      </w:pPr>
      <w:r w:rsidRPr="00C04662">
        <w:rPr>
          <w:rFonts w:ascii="Cambria" w:hAnsi="Cambria"/>
        </w:rPr>
        <w:t xml:space="preserve">Ces sociétés avaient été créées pour répondre à la volonté conjointe des élus locaux et du Pays de valorisation des atolls inexploités de Tematangi, Vanavana, Maria, Matureivavao, </w:t>
      </w:r>
      <w:proofErr w:type="spellStart"/>
      <w:r w:rsidRPr="00C04662">
        <w:rPr>
          <w:rFonts w:ascii="Cambria" w:hAnsi="Cambria"/>
        </w:rPr>
        <w:t>Vahaga</w:t>
      </w:r>
      <w:proofErr w:type="spellEnd"/>
      <w:r w:rsidRPr="00C04662">
        <w:rPr>
          <w:rFonts w:ascii="Cambria" w:hAnsi="Cambria"/>
        </w:rPr>
        <w:t xml:space="preserve">, </w:t>
      </w:r>
      <w:proofErr w:type="spellStart"/>
      <w:r w:rsidRPr="00C04662">
        <w:rPr>
          <w:rFonts w:ascii="Cambria" w:hAnsi="Cambria"/>
        </w:rPr>
        <w:t>Tenania</w:t>
      </w:r>
      <w:proofErr w:type="spellEnd"/>
      <w:r w:rsidRPr="00C04662">
        <w:rPr>
          <w:rFonts w:ascii="Cambria" w:hAnsi="Cambria"/>
        </w:rPr>
        <w:t xml:space="preserve"> et Tenararo. Cette démarche visait ainsi à organiser concrètement un système destiné à pérenniser l’activité agricole sur ces terres. Pour se faire, le Pays avait cédé gratuitement à ces deux sociétés les sept atolls discutés aux termes de deux actes de cessions transcrits le 18 mars 1975 et le 16 mars 1979.</w:t>
      </w:r>
    </w:p>
    <w:p w14:paraId="6584463E" w14:textId="77777777" w:rsidR="00C04662" w:rsidRPr="00C04662" w:rsidRDefault="00C04662" w:rsidP="00C04662">
      <w:pPr>
        <w:pStyle w:val="NormalWeb"/>
        <w:jc w:val="both"/>
        <w:rPr>
          <w:rFonts w:ascii="Cambria" w:hAnsi="Cambria"/>
        </w:rPr>
      </w:pPr>
      <w:r w:rsidRPr="00C04662">
        <w:rPr>
          <w:rFonts w:ascii="Cambria" w:hAnsi="Cambria"/>
        </w:rPr>
        <w:t>C’est dans le cadre de cette demande du Pays que la présidente du Tribunal de première instance de Papeete a désigné Maurice Baud avec pour mission « de liquider lesdites sociétés et de représenter leurs intérêts en justice ».</w:t>
      </w:r>
    </w:p>
    <w:p w14:paraId="1E879390" w14:textId="77777777" w:rsidR="00C04662" w:rsidRPr="00C04662" w:rsidRDefault="00C04662" w:rsidP="00C04662">
      <w:pPr>
        <w:pStyle w:val="NormalWeb"/>
        <w:jc w:val="both"/>
        <w:rPr>
          <w:rFonts w:ascii="Cambria" w:hAnsi="Cambria"/>
        </w:rPr>
      </w:pPr>
      <w:r w:rsidRPr="00C04662">
        <w:rPr>
          <w:rFonts w:ascii="Cambria" w:hAnsi="Cambria"/>
        </w:rPr>
        <w:lastRenderedPageBreak/>
        <w:t>Ainsi, le liquidateur désigné va certainement intervenir rapidement dans la première procédure d’annulation de la notoriété acquisitive afin de représenter les intérêts des sociétés discutées comme de leurs membres.</w:t>
      </w:r>
    </w:p>
    <w:p w14:paraId="5234C963" w14:textId="77777777" w:rsidR="00C04662" w:rsidRPr="00C04662" w:rsidRDefault="00C04662" w:rsidP="00C04662">
      <w:pPr>
        <w:pStyle w:val="NormalWeb"/>
        <w:jc w:val="both"/>
        <w:rPr>
          <w:rFonts w:ascii="Cambria" w:hAnsi="Cambria"/>
        </w:rPr>
      </w:pPr>
      <w:r w:rsidRPr="00C04662">
        <w:rPr>
          <w:rFonts w:ascii="Cambria" w:hAnsi="Cambria"/>
        </w:rPr>
        <w:t>En outre, le liquidateur va devoir régler la situation des deux sociétés dissoutes. Il est donc important que celui-ci ait un maximum d’informations quant aux deux sociétés et à leurs membres compte tenu de la mission qui lui a été confiée par la présidence du Tribunal de première instance.</w:t>
      </w:r>
    </w:p>
    <w:p w14:paraId="4E1EBF25" w14:textId="77777777" w:rsidR="00C04662" w:rsidRPr="00C04662" w:rsidRDefault="00C04662" w:rsidP="00C04662">
      <w:pPr>
        <w:pStyle w:val="NormalWeb"/>
        <w:jc w:val="both"/>
        <w:rPr>
          <w:rFonts w:ascii="Cambria" w:hAnsi="Cambria"/>
        </w:rPr>
      </w:pPr>
      <w:r w:rsidRPr="00C04662">
        <w:rPr>
          <w:rStyle w:val="lev"/>
          <w:rFonts w:ascii="Cambria" w:hAnsi="Cambria"/>
        </w:rPr>
        <w:t> </w:t>
      </w:r>
    </w:p>
    <w:p w14:paraId="0C97C2AA" w14:textId="77777777" w:rsidR="00C04662" w:rsidRPr="00C04662" w:rsidRDefault="00C04662" w:rsidP="00C04662">
      <w:pPr>
        <w:pStyle w:val="NormalWeb"/>
        <w:jc w:val="both"/>
        <w:rPr>
          <w:rFonts w:ascii="Cambria" w:hAnsi="Cambria"/>
        </w:rPr>
      </w:pPr>
      <w:r w:rsidRPr="00C04662">
        <w:rPr>
          <w:rStyle w:val="lev"/>
          <w:rFonts w:ascii="Cambria" w:hAnsi="Cambria"/>
        </w:rPr>
        <w:t xml:space="preserve">Subvention au profit du Centre d’Education au Développement (CED) St Joseph de </w:t>
      </w:r>
      <w:proofErr w:type="spellStart"/>
      <w:r w:rsidRPr="00C04662">
        <w:rPr>
          <w:rStyle w:val="lev"/>
          <w:rFonts w:ascii="Cambria" w:hAnsi="Cambria"/>
        </w:rPr>
        <w:t>Taiohae</w:t>
      </w:r>
      <w:proofErr w:type="spellEnd"/>
    </w:p>
    <w:p w14:paraId="3513AD87" w14:textId="77777777" w:rsidR="00C04662" w:rsidRPr="00C04662" w:rsidRDefault="00C04662" w:rsidP="00C04662">
      <w:pPr>
        <w:pStyle w:val="NormalWeb"/>
        <w:jc w:val="both"/>
        <w:rPr>
          <w:rFonts w:ascii="Cambria" w:hAnsi="Cambria"/>
        </w:rPr>
      </w:pPr>
      <w:r w:rsidRPr="00C04662">
        <w:rPr>
          <w:rFonts w:ascii="Cambria" w:hAnsi="Cambria"/>
        </w:rPr>
        <w:t xml:space="preserve">Le Conseil des ministres a octroyé une aide financière au profit du Centre d’Education au Développement (CED) St Joseph de </w:t>
      </w:r>
      <w:proofErr w:type="spellStart"/>
      <w:r w:rsidRPr="00C04662">
        <w:rPr>
          <w:rFonts w:ascii="Cambria" w:hAnsi="Cambria"/>
        </w:rPr>
        <w:t>Taiohae</w:t>
      </w:r>
      <w:proofErr w:type="spellEnd"/>
      <w:r w:rsidRPr="00C04662">
        <w:rPr>
          <w:rFonts w:ascii="Cambria" w:hAnsi="Cambria"/>
        </w:rPr>
        <w:t xml:space="preserve"> pour financer les dépenses de transport des élèves effectuant leur stage aux îles du Vent.</w:t>
      </w:r>
    </w:p>
    <w:p w14:paraId="4EF4EF9B" w14:textId="77777777" w:rsidR="00C04662" w:rsidRPr="00C04662" w:rsidRDefault="00C04662" w:rsidP="00C04662">
      <w:pPr>
        <w:pStyle w:val="NormalWeb"/>
        <w:jc w:val="both"/>
        <w:rPr>
          <w:rFonts w:ascii="Cambria" w:hAnsi="Cambria"/>
        </w:rPr>
      </w:pPr>
      <w:r w:rsidRPr="00C04662">
        <w:rPr>
          <w:rFonts w:ascii="Cambria" w:hAnsi="Cambria"/>
        </w:rPr>
        <w:t xml:space="preserve">Le CED St Joseph de </w:t>
      </w:r>
      <w:proofErr w:type="spellStart"/>
      <w:r w:rsidRPr="00C04662">
        <w:rPr>
          <w:rFonts w:ascii="Cambria" w:hAnsi="Cambria"/>
        </w:rPr>
        <w:t>Taiohae</w:t>
      </w:r>
      <w:proofErr w:type="spellEnd"/>
      <w:r w:rsidRPr="00C04662">
        <w:rPr>
          <w:rFonts w:ascii="Cambria" w:hAnsi="Cambria"/>
        </w:rPr>
        <w:t xml:space="preserve">, à </w:t>
      </w:r>
      <w:proofErr w:type="spellStart"/>
      <w:r w:rsidRPr="00C04662">
        <w:rPr>
          <w:rFonts w:ascii="Cambria" w:hAnsi="Cambria"/>
        </w:rPr>
        <w:t>Nuku</w:t>
      </w:r>
      <w:proofErr w:type="spellEnd"/>
      <w:r w:rsidRPr="00C04662">
        <w:rPr>
          <w:rFonts w:ascii="Cambria" w:hAnsi="Cambria"/>
        </w:rPr>
        <w:t xml:space="preserve"> </w:t>
      </w:r>
      <w:proofErr w:type="spellStart"/>
      <w:r w:rsidRPr="00C04662">
        <w:rPr>
          <w:rFonts w:ascii="Cambria" w:hAnsi="Cambria"/>
        </w:rPr>
        <w:t>Hiva</w:t>
      </w:r>
      <w:proofErr w:type="spellEnd"/>
      <w:r w:rsidRPr="00C04662">
        <w:rPr>
          <w:rFonts w:ascii="Cambria" w:hAnsi="Cambria"/>
        </w:rPr>
        <w:t>, est un établissement privé d’enseignement professionnel qui organise, depuis son ouverture en 1998, des formations aux métiers de la terre adaptées au contexte local. Pour compléter l’enseignement pédagogique dispensé au centre, des stages pratiques d’une durée de 5 semaines à 8 semaines chez une quarantaine d’exploitants agricoles, essentiellement de Tahiti et Moorea, sont organisés pour les élèves de la formation bac pro (spécialité conduite et gestion de l’entreprise agricole) diplôme de niveau IV.</w:t>
      </w:r>
    </w:p>
    <w:p w14:paraId="2598E5CD" w14:textId="77777777" w:rsidR="00C04662" w:rsidRPr="00C04662" w:rsidRDefault="00C04662" w:rsidP="00C04662">
      <w:pPr>
        <w:pStyle w:val="NormalWeb"/>
        <w:jc w:val="both"/>
        <w:rPr>
          <w:rFonts w:ascii="Cambria" w:hAnsi="Cambria"/>
        </w:rPr>
      </w:pPr>
      <w:r w:rsidRPr="00C04662">
        <w:rPr>
          <w:rFonts w:ascii="Cambria" w:hAnsi="Cambria"/>
        </w:rPr>
        <w:t xml:space="preserve">Le montant de la subvention allouée au Centre d’Education au Développement (CED) St Joseph de </w:t>
      </w:r>
      <w:proofErr w:type="spellStart"/>
      <w:r w:rsidRPr="00C04662">
        <w:rPr>
          <w:rFonts w:ascii="Cambria" w:hAnsi="Cambria"/>
        </w:rPr>
        <w:t>Taiohae</w:t>
      </w:r>
      <w:proofErr w:type="spellEnd"/>
      <w:r w:rsidRPr="00C04662">
        <w:rPr>
          <w:rFonts w:ascii="Cambria" w:hAnsi="Cambria"/>
        </w:rPr>
        <w:t xml:space="preserve"> est de 1 643 680 </w:t>
      </w:r>
      <w:proofErr w:type="spellStart"/>
      <w:r w:rsidRPr="00C04662">
        <w:rPr>
          <w:rFonts w:ascii="Cambria" w:hAnsi="Cambria"/>
        </w:rPr>
        <w:t>Fcfp</w:t>
      </w:r>
      <w:proofErr w:type="spellEnd"/>
      <w:r w:rsidRPr="00C04662">
        <w:rPr>
          <w:rFonts w:ascii="Cambria" w:hAnsi="Cambria"/>
        </w:rPr>
        <w:t>.</w:t>
      </w:r>
    </w:p>
    <w:p w14:paraId="75B4B0CD" w14:textId="77777777" w:rsidR="00C04662" w:rsidRPr="00C04662" w:rsidRDefault="00C04662" w:rsidP="00C04662">
      <w:pPr>
        <w:pStyle w:val="NormalWeb"/>
        <w:jc w:val="both"/>
        <w:rPr>
          <w:rFonts w:ascii="Cambria" w:hAnsi="Cambria"/>
        </w:rPr>
      </w:pPr>
      <w:r w:rsidRPr="00C04662">
        <w:rPr>
          <w:rFonts w:ascii="Cambria" w:hAnsi="Cambria"/>
        </w:rPr>
        <w:t> </w:t>
      </w:r>
    </w:p>
    <w:p w14:paraId="305AE3AB" w14:textId="29DCD8C3" w:rsidR="002F5CCE" w:rsidRPr="002F5CCE" w:rsidRDefault="00C04662" w:rsidP="00C04662">
      <w:pPr>
        <w:pStyle w:val="NormalWeb"/>
        <w:jc w:val="both"/>
        <w:rPr>
          <w:rFonts w:ascii="Cambria" w:hAnsi="Cambria"/>
          <w:b/>
          <w:bCs/>
        </w:rPr>
      </w:pPr>
      <w:r w:rsidRPr="00C04662">
        <w:rPr>
          <w:rStyle w:val="lev"/>
          <w:rFonts w:ascii="Cambria" w:hAnsi="Cambria"/>
        </w:rPr>
        <w:t>Réglementation pour la vente d’alcool</w:t>
      </w:r>
    </w:p>
    <w:p w14:paraId="17B3CBC5" w14:textId="3DCB545B" w:rsidR="00C04662" w:rsidRPr="00C04662" w:rsidRDefault="00C04662" w:rsidP="00C04662">
      <w:pPr>
        <w:pStyle w:val="NormalWeb"/>
        <w:jc w:val="both"/>
        <w:rPr>
          <w:rFonts w:ascii="Cambria" w:hAnsi="Cambria"/>
        </w:rPr>
      </w:pPr>
      <w:proofErr w:type="gramStart"/>
      <w:r w:rsidRPr="00C04662">
        <w:rPr>
          <w:rFonts w:ascii="Cambria" w:hAnsi="Cambria"/>
        </w:rPr>
        <w:t>Suite à</w:t>
      </w:r>
      <w:proofErr w:type="gramEnd"/>
      <w:r w:rsidRPr="00C04662">
        <w:rPr>
          <w:rFonts w:ascii="Cambria" w:hAnsi="Cambria"/>
        </w:rPr>
        <w:t xml:space="preserve"> la </w:t>
      </w:r>
      <w:r w:rsidR="002F5CCE">
        <w:rPr>
          <w:rFonts w:ascii="Cambria" w:hAnsi="Cambria"/>
        </w:rPr>
        <w:t xml:space="preserve">récente </w:t>
      </w:r>
      <w:r w:rsidRPr="00C04662">
        <w:rPr>
          <w:rFonts w:ascii="Cambria" w:hAnsi="Cambria"/>
        </w:rPr>
        <w:t>réunion avec les maires, le Conseil des ministres a pris un arrêté réglementant la vente d’alcool pour les établissements effectuant des ventes à emporter de boissons (1</w:t>
      </w:r>
      <w:r w:rsidRPr="00C04662">
        <w:rPr>
          <w:rFonts w:ascii="Cambria" w:hAnsi="Cambria"/>
          <w:vertAlign w:val="superscript"/>
        </w:rPr>
        <w:t>ère</w:t>
      </w:r>
      <w:r w:rsidRPr="00C04662">
        <w:rPr>
          <w:rFonts w:ascii="Cambria" w:hAnsi="Cambria"/>
        </w:rPr>
        <w:t xml:space="preserve"> et 2</w:t>
      </w:r>
      <w:r w:rsidRPr="00C04662">
        <w:rPr>
          <w:rFonts w:ascii="Cambria" w:hAnsi="Cambria"/>
          <w:vertAlign w:val="superscript"/>
        </w:rPr>
        <w:t>ème</w:t>
      </w:r>
      <w:r w:rsidRPr="00C04662">
        <w:rPr>
          <w:rFonts w:ascii="Cambria" w:hAnsi="Cambria"/>
        </w:rPr>
        <w:t xml:space="preserve"> classe).</w:t>
      </w:r>
    </w:p>
    <w:p w14:paraId="679D09F3" w14:textId="77777777" w:rsidR="00C04662" w:rsidRPr="00C04662" w:rsidRDefault="00C04662" w:rsidP="00C04662">
      <w:pPr>
        <w:pStyle w:val="NormalWeb"/>
        <w:jc w:val="both"/>
        <w:rPr>
          <w:rFonts w:ascii="Cambria" w:hAnsi="Cambria"/>
        </w:rPr>
      </w:pPr>
      <w:r w:rsidRPr="00C04662">
        <w:rPr>
          <w:rFonts w:ascii="Cambria" w:hAnsi="Cambria"/>
        </w:rPr>
        <w:t>Ainsi, sur l’ensemble du territoire de la Polynésie française, la vente des boissons alcooliques et les boissons d’alimentation non réfrigérées est autorisée aux seuls horaires suivants :</w:t>
      </w:r>
    </w:p>
    <w:p w14:paraId="0E9390C3" w14:textId="77777777" w:rsidR="00C04662" w:rsidRPr="00C04662" w:rsidRDefault="00C04662" w:rsidP="00C04662">
      <w:pPr>
        <w:pStyle w:val="NormalWeb"/>
        <w:jc w:val="both"/>
        <w:rPr>
          <w:rFonts w:ascii="Cambria" w:hAnsi="Cambria"/>
        </w:rPr>
      </w:pPr>
      <w:r w:rsidRPr="00C04662">
        <w:rPr>
          <w:rFonts w:ascii="Cambria" w:hAnsi="Cambria"/>
        </w:rPr>
        <w:t>- du lundi au vendredi : de 8 heures à 18 heures ;</w:t>
      </w:r>
    </w:p>
    <w:p w14:paraId="4E254861" w14:textId="77777777" w:rsidR="00C04662" w:rsidRPr="00C04662" w:rsidRDefault="00C04662" w:rsidP="00C04662">
      <w:pPr>
        <w:pStyle w:val="NormalWeb"/>
        <w:jc w:val="both"/>
        <w:rPr>
          <w:rFonts w:ascii="Cambria" w:hAnsi="Cambria"/>
        </w:rPr>
      </w:pPr>
      <w:r w:rsidRPr="00C04662">
        <w:rPr>
          <w:rFonts w:ascii="Cambria" w:hAnsi="Cambria"/>
        </w:rPr>
        <w:t>- les samedi, dimanche et jours fériés : de 8 heures à 12 heures. </w:t>
      </w:r>
    </w:p>
    <w:p w14:paraId="07568C48" w14:textId="77777777" w:rsidR="00C04662" w:rsidRPr="00C04662" w:rsidRDefault="00C04662" w:rsidP="00C04662">
      <w:pPr>
        <w:pStyle w:val="NormalWeb"/>
        <w:jc w:val="both"/>
        <w:rPr>
          <w:rFonts w:ascii="Cambria" w:hAnsi="Cambria"/>
        </w:rPr>
      </w:pPr>
      <w:r w:rsidRPr="00C04662">
        <w:rPr>
          <w:rFonts w:ascii="Cambria" w:hAnsi="Cambria"/>
        </w:rPr>
        <w:t>Par ailleurs, la vente de boissons alcooliques et de boissons d’alimentation réfrigérées est totalement interdite sur l’ensemble du territoire.</w:t>
      </w:r>
    </w:p>
    <w:p w14:paraId="1E504DDF" w14:textId="77777777" w:rsidR="00C04662" w:rsidRPr="00C04662" w:rsidRDefault="00C04662" w:rsidP="00C04662">
      <w:pPr>
        <w:pStyle w:val="NormalWeb"/>
        <w:jc w:val="both"/>
        <w:rPr>
          <w:rFonts w:ascii="Cambria" w:hAnsi="Cambria"/>
        </w:rPr>
      </w:pPr>
      <w:r w:rsidRPr="00C04662">
        <w:rPr>
          <w:rStyle w:val="lev"/>
          <w:rFonts w:ascii="Cambria" w:hAnsi="Cambria"/>
        </w:rPr>
        <w:t> </w:t>
      </w:r>
    </w:p>
    <w:p w14:paraId="09C821D5" w14:textId="77777777" w:rsidR="00C04662" w:rsidRPr="00C04662" w:rsidRDefault="00C04662" w:rsidP="00C04662">
      <w:pPr>
        <w:pStyle w:val="NormalWeb"/>
        <w:jc w:val="both"/>
        <w:rPr>
          <w:rFonts w:ascii="Cambria" w:hAnsi="Cambria"/>
        </w:rPr>
      </w:pPr>
      <w:r w:rsidRPr="00C04662">
        <w:rPr>
          <w:rStyle w:val="lev"/>
          <w:rFonts w:ascii="Cambria" w:hAnsi="Cambria"/>
        </w:rPr>
        <w:t>Subvention à la SOFIDEP</w:t>
      </w:r>
    </w:p>
    <w:p w14:paraId="5DC6963C" w14:textId="440945F7" w:rsidR="00C04662" w:rsidRPr="00C04662" w:rsidRDefault="00C04662" w:rsidP="00C04662">
      <w:pPr>
        <w:pStyle w:val="NormalWeb"/>
        <w:jc w:val="both"/>
        <w:rPr>
          <w:rFonts w:ascii="Cambria" w:hAnsi="Cambria"/>
        </w:rPr>
      </w:pPr>
      <w:r w:rsidRPr="00C04662">
        <w:rPr>
          <w:rFonts w:ascii="Cambria" w:hAnsi="Cambria"/>
        </w:rPr>
        <w:t xml:space="preserve">Depuis 1999, la </w:t>
      </w:r>
      <w:proofErr w:type="spellStart"/>
      <w:r w:rsidRPr="00C04662">
        <w:rPr>
          <w:rFonts w:ascii="Cambria" w:hAnsi="Cambria"/>
        </w:rPr>
        <w:t>Sofidep</w:t>
      </w:r>
      <w:proofErr w:type="spellEnd"/>
      <w:r w:rsidRPr="00C04662">
        <w:rPr>
          <w:rFonts w:ascii="Cambria" w:hAnsi="Cambria"/>
        </w:rPr>
        <w:t xml:space="preserve"> assure une mission publique de développement économique et d'accompagnement des petites et moyennes entreprises polynésiennes dans la création et la transmission et le développement de leur activité. </w:t>
      </w:r>
      <w:r w:rsidR="002F5CCE">
        <w:rPr>
          <w:rFonts w:ascii="Cambria" w:hAnsi="Cambria"/>
        </w:rPr>
        <w:t xml:space="preserve"> </w:t>
      </w:r>
      <w:r w:rsidRPr="00C04662">
        <w:rPr>
          <w:rFonts w:ascii="Cambria" w:hAnsi="Cambria"/>
        </w:rPr>
        <w:t xml:space="preserve">En 2021, la </w:t>
      </w:r>
      <w:proofErr w:type="spellStart"/>
      <w:r w:rsidRPr="00C04662">
        <w:rPr>
          <w:rFonts w:ascii="Cambria" w:hAnsi="Cambria"/>
        </w:rPr>
        <w:t>Sofidep</w:t>
      </w:r>
      <w:proofErr w:type="spellEnd"/>
      <w:r w:rsidRPr="00C04662">
        <w:rPr>
          <w:rFonts w:ascii="Cambria" w:hAnsi="Cambria"/>
        </w:rPr>
        <w:t xml:space="preserve"> accompagnera le plan de relance du Pays en renforçant la trésorerie des entreprises rencontrant des difficultés liées à la pandémie. </w:t>
      </w:r>
      <w:proofErr w:type="gramStart"/>
      <w:r w:rsidRPr="00C04662">
        <w:rPr>
          <w:rFonts w:ascii="Cambria" w:hAnsi="Cambria"/>
        </w:rPr>
        <w:t>Le PRE</w:t>
      </w:r>
      <w:proofErr w:type="gramEnd"/>
      <w:r w:rsidRPr="00C04662">
        <w:rPr>
          <w:rFonts w:ascii="Cambria" w:hAnsi="Cambria"/>
        </w:rPr>
        <w:t xml:space="preserve"> doit ainsi permettre aux entreprises de faire face à leurs charges fixes suite à la baisse ou à l'absence de chiffre d'affaires et de favoriser leur relance à court terme.</w:t>
      </w:r>
    </w:p>
    <w:p w14:paraId="267E5BEF" w14:textId="77777777" w:rsidR="00C04662" w:rsidRPr="00C04662" w:rsidRDefault="00C04662" w:rsidP="00C04662">
      <w:pPr>
        <w:pStyle w:val="NormalWeb"/>
        <w:jc w:val="both"/>
        <w:rPr>
          <w:rFonts w:ascii="Cambria" w:hAnsi="Cambria"/>
        </w:rPr>
      </w:pPr>
      <w:r w:rsidRPr="00C04662">
        <w:rPr>
          <w:rFonts w:ascii="Cambria" w:hAnsi="Cambria"/>
        </w:rPr>
        <w:lastRenderedPageBreak/>
        <w:t> </w:t>
      </w:r>
    </w:p>
    <w:p w14:paraId="58999506" w14:textId="77777777" w:rsidR="00C04662" w:rsidRPr="00C04662" w:rsidRDefault="00C04662" w:rsidP="00C04662">
      <w:pPr>
        <w:pStyle w:val="NormalWeb"/>
        <w:jc w:val="both"/>
        <w:rPr>
          <w:rFonts w:ascii="Cambria" w:hAnsi="Cambria"/>
        </w:rPr>
      </w:pPr>
      <w:r w:rsidRPr="00C04662">
        <w:rPr>
          <w:rStyle w:val="lev"/>
          <w:rFonts w:ascii="Cambria" w:hAnsi="Cambria"/>
        </w:rPr>
        <w:t>Subvention à Initiative Polynésie française</w:t>
      </w:r>
    </w:p>
    <w:p w14:paraId="16F6DFAC" w14:textId="77777777" w:rsidR="00C04662" w:rsidRPr="00C04662" w:rsidRDefault="00C04662" w:rsidP="00C04662">
      <w:pPr>
        <w:pStyle w:val="NormalWeb"/>
        <w:jc w:val="both"/>
        <w:rPr>
          <w:rFonts w:ascii="Cambria" w:hAnsi="Cambria"/>
        </w:rPr>
      </w:pPr>
      <w:r w:rsidRPr="00C04662">
        <w:rPr>
          <w:rFonts w:ascii="Cambria" w:hAnsi="Cambria"/>
        </w:rPr>
        <w:t xml:space="preserve">Depuis 2017, le Pays soutient l'association Initiative Polynésie française, plateforme de proximité qui soutient les nouveaux porteurs de projet, les reprises d’entreprise mais aussi le développement des entreprises, par l’attribution de prêts d’honneur (prêt personnel sans intérêts ni garantie). Fin 2020, Initiative Polynésie française a répondu à l’appel du ministre des Finances et de l’économie pour distribuer, en Polynésie française, les prêts à taux zéro avec deux ans de différé de la Caisse des dépôts et consignations. Cet engagement s’est traduit par la signature de la convention du 15 janvier 2021, en présence du Président de la Polynésie française. Le soutien de la Banque des territoires prend la forme d’un contrat d’apport avec droit de reprise de 173 millions </w:t>
      </w:r>
      <w:proofErr w:type="spellStart"/>
      <w:r w:rsidRPr="00C04662">
        <w:rPr>
          <w:rFonts w:ascii="Cambria" w:hAnsi="Cambria"/>
        </w:rPr>
        <w:t>Fcfp</w:t>
      </w:r>
      <w:proofErr w:type="spellEnd"/>
      <w:r w:rsidRPr="00C04662">
        <w:rPr>
          <w:rFonts w:ascii="Cambria" w:hAnsi="Cambria"/>
        </w:rPr>
        <w:t>. Via ce soutien, Initiative Polynésie pourra octroyer des prêts à taux zéro aux petites entreprises et associations d’intérêt général.</w:t>
      </w:r>
    </w:p>
    <w:p w14:paraId="17EF90D2" w14:textId="77777777" w:rsidR="00C04662" w:rsidRPr="00C04662" w:rsidRDefault="00C04662" w:rsidP="00C04662">
      <w:pPr>
        <w:pStyle w:val="NormalWeb"/>
        <w:jc w:val="both"/>
        <w:rPr>
          <w:rFonts w:ascii="Cambria" w:hAnsi="Cambria"/>
        </w:rPr>
      </w:pPr>
      <w:r w:rsidRPr="00C04662">
        <w:rPr>
          <w:rFonts w:ascii="Cambria" w:hAnsi="Cambria"/>
        </w:rPr>
        <w:t xml:space="preserve">Afin de permettre la mise en </w:t>
      </w:r>
      <w:proofErr w:type="spellStart"/>
      <w:r w:rsidRPr="00C04662">
        <w:rPr>
          <w:rFonts w:ascii="Cambria" w:hAnsi="Cambria"/>
        </w:rPr>
        <w:t>oeuvre</w:t>
      </w:r>
      <w:proofErr w:type="spellEnd"/>
      <w:r w:rsidRPr="00C04662">
        <w:rPr>
          <w:rFonts w:ascii="Cambria" w:hAnsi="Cambria"/>
        </w:rPr>
        <w:t xml:space="preserve"> de ce fonds, le gouvernement a décidé de porter à 37 millions </w:t>
      </w:r>
      <w:proofErr w:type="spellStart"/>
      <w:r w:rsidRPr="00C04662">
        <w:rPr>
          <w:rFonts w:ascii="Cambria" w:hAnsi="Cambria"/>
        </w:rPr>
        <w:t>Fcfp</w:t>
      </w:r>
      <w:proofErr w:type="spellEnd"/>
      <w:r w:rsidRPr="00C04662">
        <w:rPr>
          <w:rFonts w:ascii="Cambria" w:hAnsi="Cambria"/>
        </w:rPr>
        <w:t xml:space="preserve"> la subvention de fonctionnement d’Initiative Polynésie française. Ainsi, l'effet de levier de cette subvention s'en trouvera nettement augmenté puisque pour 1 </w:t>
      </w:r>
      <w:proofErr w:type="spellStart"/>
      <w:r w:rsidRPr="00C04662">
        <w:rPr>
          <w:rFonts w:ascii="Cambria" w:hAnsi="Cambria"/>
        </w:rPr>
        <w:t>Fcfp</w:t>
      </w:r>
      <w:proofErr w:type="spellEnd"/>
      <w:r w:rsidRPr="00C04662">
        <w:rPr>
          <w:rFonts w:ascii="Cambria" w:hAnsi="Cambria"/>
        </w:rPr>
        <w:t xml:space="preserve"> de subvention en fonctionnement, Initiative Polynésie française sera en mesure de prêter 4,7 </w:t>
      </w:r>
      <w:proofErr w:type="spellStart"/>
      <w:r w:rsidRPr="00C04662">
        <w:rPr>
          <w:rFonts w:ascii="Cambria" w:hAnsi="Cambria"/>
        </w:rPr>
        <w:t>Fcfp</w:t>
      </w:r>
      <w:proofErr w:type="spellEnd"/>
      <w:r w:rsidRPr="00C04662">
        <w:rPr>
          <w:rFonts w:ascii="Cambria" w:hAnsi="Cambria"/>
        </w:rPr>
        <w:t xml:space="preserve"> aux entreprises polynésiennes. Cette action entre dans la stratégie de relance portée par le gouvernement.</w:t>
      </w:r>
    </w:p>
    <w:p w14:paraId="5C9378C4" w14:textId="77777777" w:rsidR="00C04662" w:rsidRPr="00C04662" w:rsidRDefault="00C04662" w:rsidP="00C04662">
      <w:pPr>
        <w:pStyle w:val="NormalWeb"/>
        <w:jc w:val="both"/>
        <w:rPr>
          <w:rFonts w:ascii="Cambria" w:hAnsi="Cambria"/>
        </w:rPr>
      </w:pPr>
      <w:r w:rsidRPr="00C04662">
        <w:rPr>
          <w:rStyle w:val="lev"/>
          <w:rFonts w:ascii="Cambria" w:hAnsi="Cambria"/>
        </w:rPr>
        <w:t> </w:t>
      </w:r>
    </w:p>
    <w:p w14:paraId="208CE50D" w14:textId="77777777" w:rsidR="00C04662" w:rsidRPr="00C04662" w:rsidRDefault="00C04662" w:rsidP="00C04662">
      <w:pPr>
        <w:pStyle w:val="NormalWeb"/>
        <w:jc w:val="both"/>
        <w:rPr>
          <w:rFonts w:ascii="Cambria" w:hAnsi="Cambria"/>
        </w:rPr>
      </w:pPr>
      <w:r w:rsidRPr="00C04662">
        <w:rPr>
          <w:rStyle w:val="lev"/>
          <w:rFonts w:ascii="Cambria" w:hAnsi="Cambria"/>
        </w:rPr>
        <w:t>Licence d’exploitation aérienne à la SARL Tahiti Air Charter</w:t>
      </w:r>
    </w:p>
    <w:p w14:paraId="583BE223" w14:textId="77777777" w:rsidR="00C04662" w:rsidRPr="00C04662" w:rsidRDefault="00C04662" w:rsidP="00C04662">
      <w:pPr>
        <w:pStyle w:val="NormalWeb"/>
        <w:jc w:val="both"/>
        <w:rPr>
          <w:rFonts w:ascii="Cambria" w:hAnsi="Cambria"/>
        </w:rPr>
      </w:pPr>
      <w:r w:rsidRPr="00C04662">
        <w:rPr>
          <w:rFonts w:ascii="Cambria" w:hAnsi="Cambria"/>
        </w:rPr>
        <w:t>Le Conseil des ministres a octroyé une licence d’exploitation aérienne à la SARL Tahiti Air Charter.</w:t>
      </w:r>
    </w:p>
    <w:p w14:paraId="0C5F3E52" w14:textId="77777777" w:rsidR="00C04662" w:rsidRPr="00C04662" w:rsidRDefault="00C04662" w:rsidP="00C04662">
      <w:pPr>
        <w:pStyle w:val="NormalWeb"/>
        <w:jc w:val="both"/>
        <w:rPr>
          <w:rFonts w:ascii="Cambria" w:hAnsi="Cambria"/>
        </w:rPr>
      </w:pPr>
      <w:r w:rsidRPr="00C04662">
        <w:rPr>
          <w:rFonts w:ascii="Cambria" w:hAnsi="Cambria"/>
        </w:rPr>
        <w:t>Depuis la reprise des vols domestiques réguliers en 2020, la société Tahiti Air Charter a été fortement sollicitée par les maires des îles Sous-le-Vent et par les services de santé du pays pour l’exploitation de vols réguliers inter-îles aux îles Sous-le-Vent.</w:t>
      </w:r>
    </w:p>
    <w:p w14:paraId="3CE68EF4" w14:textId="77777777" w:rsidR="00C04662" w:rsidRPr="00C04662" w:rsidRDefault="00C04662" w:rsidP="00C04662">
      <w:pPr>
        <w:pStyle w:val="NormalWeb"/>
        <w:jc w:val="both"/>
        <w:rPr>
          <w:rFonts w:ascii="Cambria" w:hAnsi="Cambria"/>
        </w:rPr>
      </w:pPr>
      <w:r w:rsidRPr="00C04662">
        <w:rPr>
          <w:rFonts w:ascii="Cambria" w:hAnsi="Cambria"/>
        </w:rPr>
        <w:t xml:space="preserve">De plus, Tahiti Air Charter a récemment signé un contrat de délégation de service public portant sur la desserte des Îles de </w:t>
      </w:r>
      <w:proofErr w:type="spellStart"/>
      <w:r w:rsidRPr="00C04662">
        <w:rPr>
          <w:rFonts w:ascii="Cambria" w:hAnsi="Cambria"/>
        </w:rPr>
        <w:t>Ua</w:t>
      </w:r>
      <w:proofErr w:type="spellEnd"/>
      <w:r w:rsidRPr="00C04662">
        <w:rPr>
          <w:rFonts w:ascii="Cambria" w:hAnsi="Cambria"/>
        </w:rPr>
        <w:t xml:space="preserve"> Pou et de </w:t>
      </w:r>
      <w:proofErr w:type="spellStart"/>
      <w:r w:rsidRPr="00C04662">
        <w:rPr>
          <w:rFonts w:ascii="Cambria" w:hAnsi="Cambria"/>
        </w:rPr>
        <w:t>Ua</w:t>
      </w:r>
      <w:proofErr w:type="spellEnd"/>
      <w:r w:rsidRPr="00C04662">
        <w:rPr>
          <w:rFonts w:ascii="Cambria" w:hAnsi="Cambria"/>
        </w:rPr>
        <w:t xml:space="preserve"> </w:t>
      </w:r>
      <w:proofErr w:type="spellStart"/>
      <w:r w:rsidRPr="00C04662">
        <w:rPr>
          <w:rFonts w:ascii="Cambria" w:hAnsi="Cambria"/>
        </w:rPr>
        <w:t>Huka</w:t>
      </w:r>
      <w:proofErr w:type="spellEnd"/>
      <w:r w:rsidRPr="00C04662">
        <w:rPr>
          <w:rFonts w:ascii="Cambria" w:hAnsi="Cambria"/>
        </w:rPr>
        <w:t xml:space="preserve"> à partir de </w:t>
      </w:r>
      <w:proofErr w:type="spellStart"/>
      <w:r w:rsidRPr="00C04662">
        <w:rPr>
          <w:rFonts w:ascii="Cambria" w:hAnsi="Cambria"/>
        </w:rPr>
        <w:t>Nuku</w:t>
      </w:r>
      <w:proofErr w:type="spellEnd"/>
      <w:r w:rsidRPr="00C04662">
        <w:rPr>
          <w:rFonts w:ascii="Cambria" w:hAnsi="Cambria"/>
        </w:rPr>
        <w:t xml:space="preserve"> </w:t>
      </w:r>
      <w:proofErr w:type="spellStart"/>
      <w:r w:rsidRPr="00C04662">
        <w:rPr>
          <w:rFonts w:ascii="Cambria" w:hAnsi="Cambria"/>
        </w:rPr>
        <w:t>Hiva</w:t>
      </w:r>
      <w:proofErr w:type="spellEnd"/>
      <w:r w:rsidRPr="00C04662">
        <w:rPr>
          <w:rFonts w:ascii="Cambria" w:hAnsi="Cambria"/>
        </w:rPr>
        <w:t xml:space="preserve">. L’opérateur opèrera également certaines liaisons à partir de </w:t>
      </w:r>
      <w:proofErr w:type="spellStart"/>
      <w:r w:rsidRPr="00C04662">
        <w:rPr>
          <w:rFonts w:ascii="Cambria" w:hAnsi="Cambria"/>
        </w:rPr>
        <w:t>Hiva</w:t>
      </w:r>
      <w:proofErr w:type="spellEnd"/>
      <w:r w:rsidRPr="00C04662">
        <w:rPr>
          <w:rFonts w:ascii="Cambria" w:hAnsi="Cambria"/>
        </w:rPr>
        <w:t xml:space="preserve"> </w:t>
      </w:r>
      <w:proofErr w:type="spellStart"/>
      <w:r w:rsidRPr="00C04662">
        <w:rPr>
          <w:rFonts w:ascii="Cambria" w:hAnsi="Cambria"/>
        </w:rPr>
        <w:t>Oa</w:t>
      </w:r>
      <w:proofErr w:type="spellEnd"/>
      <w:r w:rsidRPr="00C04662">
        <w:rPr>
          <w:rFonts w:ascii="Cambria" w:hAnsi="Cambria"/>
        </w:rPr>
        <w:t xml:space="preserve"> afin de favoriser la rentabilité de l’exploitation globale du réseau inter-îles Marquisien.</w:t>
      </w:r>
    </w:p>
    <w:p w14:paraId="74070533" w14:textId="77777777" w:rsidR="00C04662" w:rsidRPr="00C04662" w:rsidRDefault="00C04662" w:rsidP="00C04662">
      <w:pPr>
        <w:pStyle w:val="NormalWeb"/>
        <w:jc w:val="both"/>
        <w:rPr>
          <w:rFonts w:ascii="Cambria" w:hAnsi="Cambria"/>
        </w:rPr>
      </w:pPr>
      <w:r w:rsidRPr="00C04662">
        <w:rPr>
          <w:rFonts w:ascii="Cambria" w:hAnsi="Cambria"/>
        </w:rPr>
        <w:t>Tahiti Air Charter est propriétaire d’un aéronef de type Cessna 208 Caravan basé à Raiatea qui servira à l’activité aux îles Sous-le-Vent. Un second aéronef de type Cessna Caravan EX est en cours d’acquisition par la société pour son activité aux îles Marquises.</w:t>
      </w:r>
    </w:p>
    <w:p w14:paraId="4C5F5835" w14:textId="77777777" w:rsidR="00C04662" w:rsidRPr="00C04662" w:rsidRDefault="00C04662" w:rsidP="00C04662">
      <w:pPr>
        <w:pStyle w:val="NormalWeb"/>
        <w:jc w:val="both"/>
        <w:rPr>
          <w:rFonts w:ascii="Cambria" w:hAnsi="Cambria"/>
        </w:rPr>
      </w:pPr>
      <w:r w:rsidRPr="00C04662">
        <w:rPr>
          <w:rFonts w:ascii="Cambria" w:hAnsi="Cambria"/>
        </w:rPr>
        <w:t>L’équipe de Raiatea est composée de 3 pilotes, 1 responsable qualité, 1 responsable d’entretien, 1 aide mécanicien, 1 manœuvre, et 1 responsable du maintien de la navigabilité. L’équipe des Marquises sera composée de : 2 pilotes, 2 mécaniciens et 8 agents d’escales.</w:t>
      </w:r>
    </w:p>
    <w:p w14:paraId="00C7CBA4" w14:textId="1B51966E" w:rsidR="00C04662" w:rsidRPr="00C04662" w:rsidRDefault="00C04662" w:rsidP="00C04662">
      <w:pPr>
        <w:pStyle w:val="NormalWeb"/>
        <w:jc w:val="both"/>
        <w:rPr>
          <w:rFonts w:ascii="Cambria" w:hAnsi="Cambria"/>
        </w:rPr>
      </w:pPr>
      <w:r w:rsidRPr="00C04662">
        <w:rPr>
          <w:rFonts w:ascii="Cambria" w:hAnsi="Cambria"/>
        </w:rPr>
        <w:t>Tahiti Air Charter proposera un programme de desserte pour le réseau inter-îles des îles Sous-le-Vent</w:t>
      </w:r>
      <w:r>
        <w:rPr>
          <w:rFonts w:ascii="Cambria" w:hAnsi="Cambria"/>
        </w:rPr>
        <w:t xml:space="preserve"> </w:t>
      </w:r>
      <w:r w:rsidRPr="00C04662">
        <w:rPr>
          <w:rFonts w:ascii="Cambria" w:hAnsi="Cambria"/>
        </w:rPr>
        <w:t>:</w:t>
      </w:r>
    </w:p>
    <w:p w14:paraId="0BDBF2A7" w14:textId="77777777" w:rsidR="00C04662" w:rsidRPr="00C04662" w:rsidRDefault="00C04662" w:rsidP="00C04662">
      <w:pPr>
        <w:numPr>
          <w:ilvl w:val="0"/>
          <w:numId w:val="21"/>
        </w:numPr>
        <w:spacing w:before="100" w:beforeAutospacing="1" w:after="100" w:afterAutospacing="1"/>
        <w:jc w:val="both"/>
        <w:rPr>
          <w:rFonts w:ascii="Cambria" w:hAnsi="Cambria"/>
        </w:rPr>
      </w:pPr>
      <w:r w:rsidRPr="00C04662">
        <w:rPr>
          <w:rFonts w:ascii="Cambria" w:hAnsi="Cambria"/>
        </w:rPr>
        <w:t>Lundi :</w:t>
      </w:r>
    </w:p>
    <w:p w14:paraId="0FF89A42" w14:textId="77777777" w:rsidR="00C04662" w:rsidRPr="00C04662" w:rsidRDefault="00C04662" w:rsidP="00C04662">
      <w:pPr>
        <w:numPr>
          <w:ilvl w:val="1"/>
          <w:numId w:val="21"/>
        </w:numPr>
        <w:spacing w:before="100" w:beforeAutospacing="1" w:after="100" w:afterAutospacing="1"/>
        <w:jc w:val="both"/>
        <w:rPr>
          <w:rFonts w:ascii="Cambria" w:hAnsi="Cambria"/>
        </w:rPr>
      </w:pPr>
      <w:r w:rsidRPr="00C04662">
        <w:rPr>
          <w:rFonts w:ascii="Cambria" w:hAnsi="Cambria"/>
        </w:rPr>
        <w:t>Le matin : 1 vol Raiatea / Bora-Bora / Huahine / Raiatea ;</w:t>
      </w:r>
    </w:p>
    <w:p w14:paraId="4F428DAF" w14:textId="77777777" w:rsidR="00C04662" w:rsidRPr="00C04662" w:rsidRDefault="00C04662" w:rsidP="00C04662">
      <w:pPr>
        <w:numPr>
          <w:ilvl w:val="1"/>
          <w:numId w:val="21"/>
        </w:numPr>
        <w:spacing w:before="100" w:beforeAutospacing="1" w:after="100" w:afterAutospacing="1"/>
        <w:jc w:val="both"/>
        <w:rPr>
          <w:rFonts w:ascii="Cambria" w:hAnsi="Cambria"/>
        </w:rPr>
      </w:pPr>
      <w:r w:rsidRPr="00C04662">
        <w:rPr>
          <w:rFonts w:ascii="Cambria" w:hAnsi="Cambria"/>
        </w:rPr>
        <w:t>L’après-midi : 1 vol Raiatea / Huahine / Bora-Bora / Raiatea ;</w:t>
      </w:r>
    </w:p>
    <w:p w14:paraId="47426181" w14:textId="77777777" w:rsidR="00C04662" w:rsidRPr="00C04662" w:rsidRDefault="00C04662" w:rsidP="00C04662">
      <w:pPr>
        <w:numPr>
          <w:ilvl w:val="0"/>
          <w:numId w:val="21"/>
        </w:numPr>
        <w:spacing w:before="100" w:beforeAutospacing="1" w:after="100" w:afterAutospacing="1"/>
        <w:jc w:val="both"/>
        <w:rPr>
          <w:rFonts w:ascii="Cambria" w:hAnsi="Cambria"/>
        </w:rPr>
      </w:pPr>
      <w:r w:rsidRPr="00C04662">
        <w:rPr>
          <w:rFonts w:ascii="Cambria" w:hAnsi="Cambria"/>
        </w:rPr>
        <w:t>Mercredi :</w:t>
      </w:r>
    </w:p>
    <w:p w14:paraId="58A37BD0" w14:textId="77777777" w:rsidR="00C04662" w:rsidRPr="00C04662" w:rsidRDefault="00C04662" w:rsidP="00C04662">
      <w:pPr>
        <w:numPr>
          <w:ilvl w:val="1"/>
          <w:numId w:val="21"/>
        </w:numPr>
        <w:spacing w:before="100" w:beforeAutospacing="1" w:after="100" w:afterAutospacing="1"/>
        <w:jc w:val="both"/>
        <w:rPr>
          <w:rFonts w:ascii="Cambria" w:hAnsi="Cambria"/>
        </w:rPr>
      </w:pPr>
      <w:r w:rsidRPr="00C04662">
        <w:rPr>
          <w:rFonts w:ascii="Cambria" w:hAnsi="Cambria"/>
        </w:rPr>
        <w:t xml:space="preserve">Le matin : 1 vol Raiatea / Bora Bora / </w:t>
      </w:r>
      <w:proofErr w:type="spellStart"/>
      <w:r w:rsidRPr="00C04662">
        <w:rPr>
          <w:rFonts w:ascii="Cambria" w:hAnsi="Cambria"/>
        </w:rPr>
        <w:t>Maupiti</w:t>
      </w:r>
      <w:proofErr w:type="spellEnd"/>
      <w:r w:rsidRPr="00C04662">
        <w:rPr>
          <w:rFonts w:ascii="Cambria" w:hAnsi="Cambria"/>
        </w:rPr>
        <w:t xml:space="preserve"> / Raiatea ;</w:t>
      </w:r>
    </w:p>
    <w:p w14:paraId="12D1AE43" w14:textId="77777777" w:rsidR="00C04662" w:rsidRPr="00C04662" w:rsidRDefault="00C04662" w:rsidP="00C04662">
      <w:pPr>
        <w:numPr>
          <w:ilvl w:val="1"/>
          <w:numId w:val="21"/>
        </w:numPr>
        <w:spacing w:before="100" w:beforeAutospacing="1" w:after="100" w:afterAutospacing="1"/>
        <w:jc w:val="both"/>
        <w:rPr>
          <w:rFonts w:ascii="Cambria" w:hAnsi="Cambria"/>
        </w:rPr>
      </w:pPr>
      <w:r w:rsidRPr="00C04662">
        <w:rPr>
          <w:rFonts w:ascii="Cambria" w:hAnsi="Cambria"/>
        </w:rPr>
        <w:lastRenderedPageBreak/>
        <w:t xml:space="preserve">L’après-midi : 1 vol Raiatea / </w:t>
      </w:r>
      <w:proofErr w:type="spellStart"/>
      <w:r w:rsidRPr="00C04662">
        <w:rPr>
          <w:rFonts w:ascii="Cambria" w:hAnsi="Cambria"/>
        </w:rPr>
        <w:t>Maupiti</w:t>
      </w:r>
      <w:proofErr w:type="spellEnd"/>
      <w:r w:rsidRPr="00C04662">
        <w:rPr>
          <w:rFonts w:ascii="Cambria" w:hAnsi="Cambria"/>
        </w:rPr>
        <w:t xml:space="preserve"> / Bora Bora / Raiatea ;</w:t>
      </w:r>
    </w:p>
    <w:p w14:paraId="1116EFB3" w14:textId="77777777" w:rsidR="00C04662" w:rsidRPr="00C04662" w:rsidRDefault="00C04662" w:rsidP="00C04662">
      <w:pPr>
        <w:numPr>
          <w:ilvl w:val="0"/>
          <w:numId w:val="21"/>
        </w:numPr>
        <w:spacing w:before="100" w:beforeAutospacing="1" w:after="100" w:afterAutospacing="1"/>
        <w:jc w:val="both"/>
        <w:rPr>
          <w:rFonts w:ascii="Cambria" w:hAnsi="Cambria"/>
        </w:rPr>
      </w:pPr>
      <w:r w:rsidRPr="00C04662">
        <w:rPr>
          <w:rFonts w:ascii="Cambria" w:hAnsi="Cambria"/>
        </w:rPr>
        <w:t>Jeudi :</w:t>
      </w:r>
    </w:p>
    <w:p w14:paraId="37F651B6" w14:textId="77777777" w:rsidR="00C04662" w:rsidRPr="00C04662" w:rsidRDefault="00C04662" w:rsidP="00C04662">
      <w:pPr>
        <w:numPr>
          <w:ilvl w:val="1"/>
          <w:numId w:val="21"/>
        </w:numPr>
        <w:spacing w:before="100" w:beforeAutospacing="1" w:after="100" w:afterAutospacing="1"/>
        <w:jc w:val="both"/>
        <w:rPr>
          <w:rFonts w:ascii="Cambria" w:hAnsi="Cambria"/>
        </w:rPr>
      </w:pPr>
      <w:r w:rsidRPr="00C04662">
        <w:rPr>
          <w:rFonts w:ascii="Cambria" w:hAnsi="Cambria"/>
        </w:rPr>
        <w:t xml:space="preserve">Le matin : 1 vol Raiatea / Huahine / Bora Bora / </w:t>
      </w:r>
      <w:proofErr w:type="spellStart"/>
      <w:r w:rsidRPr="00C04662">
        <w:rPr>
          <w:rFonts w:ascii="Cambria" w:hAnsi="Cambria"/>
        </w:rPr>
        <w:t>Maupiti</w:t>
      </w:r>
      <w:proofErr w:type="spellEnd"/>
      <w:r w:rsidRPr="00C04662">
        <w:rPr>
          <w:rFonts w:ascii="Cambria" w:hAnsi="Cambria"/>
        </w:rPr>
        <w:t xml:space="preserve"> / Raiatea ;</w:t>
      </w:r>
    </w:p>
    <w:p w14:paraId="7FA988FB" w14:textId="77777777" w:rsidR="00C04662" w:rsidRPr="00C04662" w:rsidRDefault="00C04662" w:rsidP="00C04662">
      <w:pPr>
        <w:numPr>
          <w:ilvl w:val="1"/>
          <w:numId w:val="21"/>
        </w:numPr>
        <w:spacing w:before="100" w:beforeAutospacing="1" w:after="100" w:afterAutospacing="1"/>
        <w:jc w:val="both"/>
        <w:rPr>
          <w:rFonts w:ascii="Cambria" w:hAnsi="Cambria"/>
        </w:rPr>
      </w:pPr>
      <w:r w:rsidRPr="00C04662">
        <w:rPr>
          <w:rFonts w:ascii="Cambria" w:hAnsi="Cambria"/>
        </w:rPr>
        <w:t xml:space="preserve">L’après-midi : 1 vol Raiatea / </w:t>
      </w:r>
      <w:proofErr w:type="spellStart"/>
      <w:r w:rsidRPr="00C04662">
        <w:rPr>
          <w:rFonts w:ascii="Cambria" w:hAnsi="Cambria"/>
        </w:rPr>
        <w:t>Maupiti</w:t>
      </w:r>
      <w:proofErr w:type="spellEnd"/>
      <w:r w:rsidRPr="00C04662">
        <w:rPr>
          <w:rFonts w:ascii="Cambria" w:hAnsi="Cambria"/>
        </w:rPr>
        <w:t xml:space="preserve"> / Bora Bora / Huahine / Raiatea ;</w:t>
      </w:r>
    </w:p>
    <w:p w14:paraId="25F90B88" w14:textId="77777777" w:rsidR="00C04662" w:rsidRPr="00C04662" w:rsidRDefault="00C04662" w:rsidP="00C04662">
      <w:pPr>
        <w:numPr>
          <w:ilvl w:val="0"/>
          <w:numId w:val="21"/>
        </w:numPr>
        <w:spacing w:before="100" w:beforeAutospacing="1" w:after="100" w:afterAutospacing="1"/>
        <w:jc w:val="both"/>
        <w:rPr>
          <w:rFonts w:ascii="Cambria" w:hAnsi="Cambria"/>
        </w:rPr>
      </w:pPr>
      <w:r w:rsidRPr="00C04662">
        <w:rPr>
          <w:rFonts w:ascii="Cambria" w:hAnsi="Cambria"/>
        </w:rPr>
        <w:t>Vendredi :</w:t>
      </w:r>
    </w:p>
    <w:p w14:paraId="5E3C2E1B" w14:textId="77777777" w:rsidR="00C04662" w:rsidRPr="00C04662" w:rsidRDefault="00C04662" w:rsidP="00C04662">
      <w:pPr>
        <w:numPr>
          <w:ilvl w:val="1"/>
          <w:numId w:val="21"/>
        </w:numPr>
        <w:spacing w:before="100" w:beforeAutospacing="1" w:after="100" w:afterAutospacing="1"/>
        <w:jc w:val="both"/>
        <w:rPr>
          <w:rFonts w:ascii="Cambria" w:hAnsi="Cambria"/>
        </w:rPr>
      </w:pPr>
      <w:r w:rsidRPr="00C04662">
        <w:rPr>
          <w:rFonts w:ascii="Cambria" w:hAnsi="Cambria"/>
        </w:rPr>
        <w:t xml:space="preserve">Le matin : 1 vol Raiatea / </w:t>
      </w:r>
      <w:proofErr w:type="spellStart"/>
      <w:r w:rsidRPr="00C04662">
        <w:rPr>
          <w:rFonts w:ascii="Cambria" w:hAnsi="Cambria"/>
        </w:rPr>
        <w:t>Maupiti</w:t>
      </w:r>
      <w:proofErr w:type="spellEnd"/>
      <w:r w:rsidRPr="00C04662">
        <w:rPr>
          <w:rFonts w:ascii="Cambria" w:hAnsi="Cambria"/>
        </w:rPr>
        <w:t xml:space="preserve"> / Bora Bora / Raiatea ;</w:t>
      </w:r>
    </w:p>
    <w:p w14:paraId="45C1A982" w14:textId="77777777" w:rsidR="00C04662" w:rsidRPr="00C04662" w:rsidRDefault="00C04662" w:rsidP="00C04662">
      <w:pPr>
        <w:numPr>
          <w:ilvl w:val="1"/>
          <w:numId w:val="21"/>
        </w:numPr>
        <w:spacing w:before="100" w:beforeAutospacing="1" w:after="100" w:afterAutospacing="1"/>
        <w:jc w:val="both"/>
        <w:rPr>
          <w:rFonts w:ascii="Cambria" w:hAnsi="Cambria"/>
        </w:rPr>
      </w:pPr>
      <w:r w:rsidRPr="00C04662">
        <w:rPr>
          <w:rFonts w:ascii="Cambria" w:hAnsi="Cambria"/>
        </w:rPr>
        <w:t xml:space="preserve">L’après-midi : 1 vol Raiatea / Bora Bora / </w:t>
      </w:r>
      <w:proofErr w:type="spellStart"/>
      <w:r w:rsidRPr="00C04662">
        <w:rPr>
          <w:rFonts w:ascii="Cambria" w:hAnsi="Cambria"/>
        </w:rPr>
        <w:t>Maupiti</w:t>
      </w:r>
      <w:proofErr w:type="spellEnd"/>
      <w:r w:rsidRPr="00C04662">
        <w:rPr>
          <w:rFonts w:ascii="Cambria" w:hAnsi="Cambria"/>
        </w:rPr>
        <w:t xml:space="preserve"> / Raiatea ;</w:t>
      </w:r>
    </w:p>
    <w:p w14:paraId="3190C90D" w14:textId="77777777" w:rsidR="00C04662" w:rsidRPr="00C04662" w:rsidRDefault="00C04662" w:rsidP="00C04662">
      <w:pPr>
        <w:numPr>
          <w:ilvl w:val="0"/>
          <w:numId w:val="21"/>
        </w:numPr>
        <w:spacing w:before="100" w:beforeAutospacing="1" w:after="100" w:afterAutospacing="1"/>
        <w:jc w:val="both"/>
        <w:rPr>
          <w:rFonts w:ascii="Cambria" w:hAnsi="Cambria"/>
        </w:rPr>
      </w:pPr>
      <w:r w:rsidRPr="00C04662">
        <w:rPr>
          <w:rFonts w:ascii="Cambria" w:hAnsi="Cambria"/>
        </w:rPr>
        <w:t>Samedi :</w:t>
      </w:r>
    </w:p>
    <w:p w14:paraId="1A7DD5FC" w14:textId="77777777" w:rsidR="00C04662" w:rsidRPr="00C04662" w:rsidRDefault="00C04662" w:rsidP="00C04662">
      <w:pPr>
        <w:numPr>
          <w:ilvl w:val="1"/>
          <w:numId w:val="21"/>
        </w:numPr>
        <w:spacing w:before="100" w:beforeAutospacing="1" w:after="100" w:afterAutospacing="1"/>
        <w:jc w:val="both"/>
        <w:rPr>
          <w:rFonts w:ascii="Cambria" w:hAnsi="Cambria"/>
        </w:rPr>
      </w:pPr>
      <w:r w:rsidRPr="00C04662">
        <w:rPr>
          <w:rFonts w:ascii="Cambria" w:hAnsi="Cambria"/>
        </w:rPr>
        <w:t>Le matin : 1 vol Raiatea / Huahine / Bora Bora / Raiatea ;</w:t>
      </w:r>
    </w:p>
    <w:p w14:paraId="6886EB5A" w14:textId="77777777" w:rsidR="00C04662" w:rsidRPr="00C04662" w:rsidRDefault="00C04662" w:rsidP="00C04662">
      <w:pPr>
        <w:numPr>
          <w:ilvl w:val="1"/>
          <w:numId w:val="21"/>
        </w:numPr>
        <w:spacing w:before="100" w:beforeAutospacing="1" w:after="100" w:afterAutospacing="1"/>
        <w:jc w:val="both"/>
        <w:rPr>
          <w:rFonts w:ascii="Cambria" w:hAnsi="Cambria"/>
        </w:rPr>
      </w:pPr>
      <w:r w:rsidRPr="00C04662">
        <w:rPr>
          <w:rFonts w:ascii="Cambria" w:hAnsi="Cambria"/>
        </w:rPr>
        <w:t>L’après-midi : 1 vol Raiatea / Bora Bora / Huahine / Raiatea ;</w:t>
      </w:r>
    </w:p>
    <w:p w14:paraId="1AFFCE7D" w14:textId="77777777" w:rsidR="00C04662" w:rsidRPr="00C04662" w:rsidRDefault="00C04662" w:rsidP="00C04662">
      <w:pPr>
        <w:numPr>
          <w:ilvl w:val="0"/>
          <w:numId w:val="21"/>
        </w:numPr>
        <w:spacing w:before="100" w:beforeAutospacing="1" w:after="100" w:afterAutospacing="1"/>
        <w:jc w:val="both"/>
        <w:rPr>
          <w:rFonts w:ascii="Cambria" w:hAnsi="Cambria"/>
        </w:rPr>
      </w:pPr>
      <w:r w:rsidRPr="00C04662">
        <w:rPr>
          <w:rFonts w:ascii="Cambria" w:hAnsi="Cambria"/>
        </w:rPr>
        <w:t>Dimanche :</w:t>
      </w:r>
    </w:p>
    <w:p w14:paraId="62A14F60" w14:textId="77777777" w:rsidR="00C04662" w:rsidRPr="00C04662" w:rsidRDefault="00C04662" w:rsidP="00C04662">
      <w:pPr>
        <w:numPr>
          <w:ilvl w:val="1"/>
          <w:numId w:val="21"/>
        </w:numPr>
        <w:spacing w:before="100" w:beforeAutospacing="1" w:after="100" w:afterAutospacing="1"/>
        <w:jc w:val="both"/>
        <w:rPr>
          <w:rFonts w:ascii="Cambria" w:hAnsi="Cambria"/>
        </w:rPr>
      </w:pPr>
      <w:r w:rsidRPr="00C04662">
        <w:rPr>
          <w:rFonts w:ascii="Cambria" w:hAnsi="Cambria"/>
        </w:rPr>
        <w:t xml:space="preserve">Le matin : Raiatea / Bora Bora / </w:t>
      </w:r>
      <w:proofErr w:type="spellStart"/>
      <w:r w:rsidRPr="00C04662">
        <w:rPr>
          <w:rFonts w:ascii="Cambria" w:hAnsi="Cambria"/>
        </w:rPr>
        <w:t>Maupiti</w:t>
      </w:r>
      <w:proofErr w:type="spellEnd"/>
      <w:r w:rsidRPr="00C04662">
        <w:rPr>
          <w:rFonts w:ascii="Cambria" w:hAnsi="Cambria"/>
        </w:rPr>
        <w:t xml:space="preserve"> / Raiatea ;</w:t>
      </w:r>
    </w:p>
    <w:p w14:paraId="616EF808" w14:textId="77777777" w:rsidR="00C04662" w:rsidRPr="00C04662" w:rsidRDefault="00C04662" w:rsidP="00C04662">
      <w:pPr>
        <w:numPr>
          <w:ilvl w:val="1"/>
          <w:numId w:val="21"/>
        </w:numPr>
        <w:spacing w:before="100" w:beforeAutospacing="1" w:after="100" w:afterAutospacing="1"/>
        <w:jc w:val="both"/>
        <w:rPr>
          <w:rFonts w:ascii="Cambria" w:hAnsi="Cambria"/>
        </w:rPr>
      </w:pPr>
      <w:r w:rsidRPr="00C04662">
        <w:rPr>
          <w:rFonts w:ascii="Cambria" w:hAnsi="Cambria"/>
        </w:rPr>
        <w:t xml:space="preserve">L’après-midi : Raiatea / </w:t>
      </w:r>
      <w:proofErr w:type="spellStart"/>
      <w:r w:rsidRPr="00C04662">
        <w:rPr>
          <w:rFonts w:ascii="Cambria" w:hAnsi="Cambria"/>
        </w:rPr>
        <w:t>Maupiti</w:t>
      </w:r>
      <w:proofErr w:type="spellEnd"/>
      <w:r w:rsidRPr="00C04662">
        <w:rPr>
          <w:rFonts w:ascii="Cambria" w:hAnsi="Cambria"/>
        </w:rPr>
        <w:t xml:space="preserve"> / Bora Bora / Raiatea.</w:t>
      </w:r>
    </w:p>
    <w:p w14:paraId="792E22CB" w14:textId="77777777" w:rsidR="00C04662" w:rsidRPr="00C04662" w:rsidRDefault="00C04662" w:rsidP="00C04662">
      <w:pPr>
        <w:pStyle w:val="NormalWeb"/>
        <w:jc w:val="both"/>
        <w:rPr>
          <w:rFonts w:ascii="Cambria" w:hAnsi="Cambria"/>
        </w:rPr>
      </w:pPr>
      <w:r w:rsidRPr="00C04662">
        <w:rPr>
          <w:rFonts w:ascii="Cambria" w:hAnsi="Cambria"/>
        </w:rPr>
        <w:t>Le programme de vol des îles Marquises s’établit comme suit :</w:t>
      </w:r>
    </w:p>
    <w:p w14:paraId="79F9C86B" w14:textId="77777777" w:rsidR="00C04662" w:rsidRPr="00C04662" w:rsidRDefault="00C04662" w:rsidP="00C04662">
      <w:pPr>
        <w:numPr>
          <w:ilvl w:val="0"/>
          <w:numId w:val="22"/>
        </w:numPr>
        <w:spacing w:before="100" w:beforeAutospacing="1" w:after="100" w:afterAutospacing="1"/>
        <w:jc w:val="both"/>
        <w:rPr>
          <w:rFonts w:ascii="Cambria" w:hAnsi="Cambria"/>
        </w:rPr>
      </w:pPr>
      <w:proofErr w:type="spellStart"/>
      <w:r w:rsidRPr="00C04662">
        <w:rPr>
          <w:rFonts w:ascii="Cambria" w:hAnsi="Cambria"/>
        </w:rPr>
        <w:t>Nuku</w:t>
      </w:r>
      <w:proofErr w:type="spellEnd"/>
      <w:r w:rsidRPr="00C04662">
        <w:rPr>
          <w:rFonts w:ascii="Cambria" w:hAnsi="Cambria"/>
        </w:rPr>
        <w:t xml:space="preserve"> </w:t>
      </w:r>
      <w:proofErr w:type="spellStart"/>
      <w:r w:rsidRPr="00C04662">
        <w:rPr>
          <w:rFonts w:ascii="Cambria" w:hAnsi="Cambria"/>
        </w:rPr>
        <w:t>Hiva</w:t>
      </w:r>
      <w:proofErr w:type="spellEnd"/>
      <w:r w:rsidRPr="00C04662">
        <w:rPr>
          <w:rFonts w:ascii="Cambria" w:hAnsi="Cambria"/>
        </w:rPr>
        <w:t xml:space="preserve"> – </w:t>
      </w:r>
      <w:proofErr w:type="spellStart"/>
      <w:r w:rsidRPr="00C04662">
        <w:rPr>
          <w:rFonts w:ascii="Cambria" w:hAnsi="Cambria"/>
        </w:rPr>
        <w:t>Hiva</w:t>
      </w:r>
      <w:proofErr w:type="spellEnd"/>
      <w:r w:rsidRPr="00C04662">
        <w:rPr>
          <w:rFonts w:ascii="Cambria" w:hAnsi="Cambria"/>
        </w:rPr>
        <w:t xml:space="preserve"> </w:t>
      </w:r>
      <w:proofErr w:type="spellStart"/>
      <w:r w:rsidRPr="00C04662">
        <w:rPr>
          <w:rFonts w:ascii="Cambria" w:hAnsi="Cambria"/>
        </w:rPr>
        <w:t>Oa</w:t>
      </w:r>
      <w:proofErr w:type="spellEnd"/>
      <w:r w:rsidRPr="00C04662">
        <w:rPr>
          <w:rFonts w:ascii="Cambria" w:hAnsi="Cambria"/>
        </w:rPr>
        <w:t> : 1 vol par semaine toute l’</w:t>
      </w:r>
      <w:proofErr w:type="spellStart"/>
      <w:r w:rsidRPr="00C04662">
        <w:rPr>
          <w:rFonts w:ascii="Cambria" w:hAnsi="Cambria"/>
        </w:rPr>
        <w:t>anné</w:t>
      </w:r>
      <w:proofErr w:type="spellEnd"/>
      <w:r w:rsidRPr="00C04662">
        <w:rPr>
          <w:rFonts w:ascii="Cambria" w:hAnsi="Cambria"/>
        </w:rPr>
        <w:t> ;</w:t>
      </w:r>
    </w:p>
    <w:p w14:paraId="7E8AA8AE" w14:textId="77777777" w:rsidR="00C04662" w:rsidRPr="00C04662" w:rsidRDefault="00C04662" w:rsidP="00C04662">
      <w:pPr>
        <w:numPr>
          <w:ilvl w:val="0"/>
          <w:numId w:val="22"/>
        </w:numPr>
        <w:spacing w:before="100" w:beforeAutospacing="1" w:after="100" w:afterAutospacing="1"/>
        <w:jc w:val="both"/>
        <w:rPr>
          <w:rFonts w:ascii="Cambria" w:hAnsi="Cambria"/>
        </w:rPr>
      </w:pPr>
      <w:proofErr w:type="spellStart"/>
      <w:r w:rsidRPr="00C04662">
        <w:rPr>
          <w:rFonts w:ascii="Cambria" w:hAnsi="Cambria"/>
        </w:rPr>
        <w:t>Hiva</w:t>
      </w:r>
      <w:proofErr w:type="spellEnd"/>
      <w:r w:rsidRPr="00C04662">
        <w:rPr>
          <w:rFonts w:ascii="Cambria" w:hAnsi="Cambria"/>
        </w:rPr>
        <w:t xml:space="preserve"> </w:t>
      </w:r>
      <w:proofErr w:type="spellStart"/>
      <w:r w:rsidRPr="00C04662">
        <w:rPr>
          <w:rFonts w:ascii="Cambria" w:hAnsi="Cambria"/>
        </w:rPr>
        <w:t>Oa</w:t>
      </w:r>
      <w:proofErr w:type="spellEnd"/>
      <w:r w:rsidRPr="00C04662">
        <w:rPr>
          <w:rFonts w:ascii="Cambria" w:hAnsi="Cambria"/>
        </w:rPr>
        <w:t xml:space="preserve"> – </w:t>
      </w:r>
      <w:proofErr w:type="spellStart"/>
      <w:r w:rsidRPr="00C04662">
        <w:rPr>
          <w:rFonts w:ascii="Cambria" w:hAnsi="Cambria"/>
        </w:rPr>
        <w:t>Ua</w:t>
      </w:r>
      <w:proofErr w:type="spellEnd"/>
      <w:r w:rsidRPr="00C04662">
        <w:rPr>
          <w:rFonts w:ascii="Cambria" w:hAnsi="Cambria"/>
        </w:rPr>
        <w:t xml:space="preserve"> Pou : 2 vols par semaine toute l’année ;</w:t>
      </w:r>
    </w:p>
    <w:p w14:paraId="28760623" w14:textId="77777777" w:rsidR="00C04662" w:rsidRPr="00C04662" w:rsidRDefault="00C04662" w:rsidP="00C04662">
      <w:pPr>
        <w:numPr>
          <w:ilvl w:val="0"/>
          <w:numId w:val="22"/>
        </w:numPr>
        <w:spacing w:before="100" w:beforeAutospacing="1" w:after="100" w:afterAutospacing="1"/>
        <w:jc w:val="both"/>
        <w:rPr>
          <w:rFonts w:ascii="Cambria" w:hAnsi="Cambria"/>
        </w:rPr>
      </w:pPr>
      <w:proofErr w:type="spellStart"/>
      <w:r w:rsidRPr="00C04662">
        <w:rPr>
          <w:rFonts w:ascii="Cambria" w:hAnsi="Cambria"/>
        </w:rPr>
        <w:t>Hiva</w:t>
      </w:r>
      <w:proofErr w:type="spellEnd"/>
      <w:r w:rsidRPr="00C04662">
        <w:rPr>
          <w:rFonts w:ascii="Cambria" w:hAnsi="Cambria"/>
        </w:rPr>
        <w:t xml:space="preserve"> </w:t>
      </w:r>
      <w:proofErr w:type="spellStart"/>
      <w:r w:rsidRPr="00C04662">
        <w:rPr>
          <w:rFonts w:ascii="Cambria" w:hAnsi="Cambria"/>
        </w:rPr>
        <w:t>Oa</w:t>
      </w:r>
      <w:proofErr w:type="spellEnd"/>
      <w:r w:rsidRPr="00C04662">
        <w:rPr>
          <w:rFonts w:ascii="Cambria" w:hAnsi="Cambria"/>
        </w:rPr>
        <w:t xml:space="preserve"> – </w:t>
      </w:r>
      <w:proofErr w:type="spellStart"/>
      <w:r w:rsidRPr="00C04662">
        <w:rPr>
          <w:rFonts w:ascii="Cambria" w:hAnsi="Cambria"/>
        </w:rPr>
        <w:t>Ua</w:t>
      </w:r>
      <w:proofErr w:type="spellEnd"/>
      <w:r w:rsidRPr="00C04662">
        <w:rPr>
          <w:rFonts w:ascii="Cambria" w:hAnsi="Cambria"/>
        </w:rPr>
        <w:t xml:space="preserve"> </w:t>
      </w:r>
      <w:proofErr w:type="spellStart"/>
      <w:r w:rsidRPr="00C04662">
        <w:rPr>
          <w:rFonts w:ascii="Cambria" w:hAnsi="Cambria"/>
        </w:rPr>
        <w:t>Huka</w:t>
      </w:r>
      <w:proofErr w:type="spellEnd"/>
      <w:r w:rsidRPr="00C04662">
        <w:rPr>
          <w:rFonts w:ascii="Cambria" w:hAnsi="Cambria"/>
        </w:rPr>
        <w:t> : 2 vols par semaine toute l’année ;</w:t>
      </w:r>
    </w:p>
    <w:p w14:paraId="52D627FB" w14:textId="77777777" w:rsidR="00C04662" w:rsidRPr="00C04662" w:rsidRDefault="00C04662" w:rsidP="00C04662">
      <w:pPr>
        <w:pStyle w:val="NormalWeb"/>
        <w:jc w:val="both"/>
        <w:rPr>
          <w:rFonts w:ascii="Cambria" w:hAnsi="Cambria"/>
        </w:rPr>
      </w:pPr>
      <w:r w:rsidRPr="00C04662">
        <w:rPr>
          <w:rFonts w:ascii="Cambria" w:hAnsi="Cambria"/>
        </w:rPr>
        <w:t>L’opérateur poursuivra son activité de vol à la demande en parallèle de ses vols réguliers.</w:t>
      </w:r>
    </w:p>
    <w:p w14:paraId="7CC8BC05" w14:textId="77777777" w:rsidR="00C04662" w:rsidRPr="00C04662" w:rsidRDefault="00C04662" w:rsidP="00C04662">
      <w:pPr>
        <w:pStyle w:val="NormalWeb"/>
        <w:jc w:val="both"/>
        <w:rPr>
          <w:rFonts w:ascii="Cambria" w:hAnsi="Cambria"/>
        </w:rPr>
      </w:pPr>
      <w:r w:rsidRPr="00C04662">
        <w:rPr>
          <w:rFonts w:ascii="Cambria" w:hAnsi="Cambria"/>
        </w:rPr>
        <w:t> </w:t>
      </w:r>
    </w:p>
    <w:p w14:paraId="3BE204FA" w14:textId="6DE45853" w:rsidR="00C04662" w:rsidRPr="00C04662" w:rsidRDefault="00C04662" w:rsidP="00C04662">
      <w:pPr>
        <w:pStyle w:val="NormalWeb"/>
        <w:jc w:val="both"/>
        <w:rPr>
          <w:rFonts w:ascii="Cambria" w:hAnsi="Cambria"/>
        </w:rPr>
      </w:pPr>
      <w:r w:rsidRPr="00C04662">
        <w:rPr>
          <w:rStyle w:val="lev"/>
          <w:rFonts w:ascii="Cambria" w:hAnsi="Cambria"/>
        </w:rPr>
        <w:t xml:space="preserve">Thoniers échoués à Arutua et </w:t>
      </w:r>
      <w:proofErr w:type="spellStart"/>
      <w:r w:rsidRPr="00C04662">
        <w:rPr>
          <w:rStyle w:val="lev"/>
          <w:rFonts w:ascii="Cambria" w:hAnsi="Cambria"/>
        </w:rPr>
        <w:t>Marutea</w:t>
      </w:r>
      <w:proofErr w:type="spellEnd"/>
      <w:r w:rsidRPr="00C04662">
        <w:rPr>
          <w:rStyle w:val="lev"/>
          <w:rFonts w:ascii="Cambria" w:hAnsi="Cambria"/>
        </w:rPr>
        <w:t xml:space="preserve"> </w:t>
      </w:r>
      <w:proofErr w:type="gramStart"/>
      <w:r w:rsidRPr="00C04662">
        <w:rPr>
          <w:rStyle w:val="lev"/>
          <w:rFonts w:ascii="Cambria" w:hAnsi="Cambria"/>
        </w:rPr>
        <w:t>Nord:</w:t>
      </w:r>
      <w:proofErr w:type="gramEnd"/>
      <w:r w:rsidRPr="00C04662">
        <w:rPr>
          <w:rStyle w:val="lev"/>
          <w:rFonts w:ascii="Cambria" w:hAnsi="Cambria"/>
        </w:rPr>
        <w:t xml:space="preserve"> le </w:t>
      </w:r>
      <w:r w:rsidR="002F5CCE">
        <w:rPr>
          <w:rStyle w:val="lev"/>
          <w:rFonts w:ascii="Cambria" w:hAnsi="Cambria"/>
        </w:rPr>
        <w:t>P</w:t>
      </w:r>
      <w:r w:rsidRPr="00C04662">
        <w:rPr>
          <w:rStyle w:val="lev"/>
          <w:rFonts w:ascii="Cambria" w:hAnsi="Cambria"/>
        </w:rPr>
        <w:t>ays s’engage dans le démantèlement des épaves</w:t>
      </w:r>
    </w:p>
    <w:p w14:paraId="68E5B9B8" w14:textId="77777777" w:rsidR="00C04662" w:rsidRPr="00C04662" w:rsidRDefault="00C04662" w:rsidP="00C04662">
      <w:pPr>
        <w:pStyle w:val="NormalWeb"/>
        <w:jc w:val="both"/>
        <w:rPr>
          <w:rFonts w:ascii="Cambria" w:hAnsi="Cambria"/>
        </w:rPr>
      </w:pPr>
      <w:r w:rsidRPr="00C04662">
        <w:rPr>
          <w:rFonts w:ascii="Cambria" w:hAnsi="Cambria"/>
        </w:rPr>
        <w:t xml:space="preserve">Le Pays fait face à la gestion complexe de deux situations de navires de pêche étrangers échoués, l’un à </w:t>
      </w:r>
      <w:proofErr w:type="spellStart"/>
      <w:r w:rsidRPr="00C04662">
        <w:rPr>
          <w:rFonts w:ascii="Cambria" w:hAnsi="Cambria"/>
        </w:rPr>
        <w:t>Marutea</w:t>
      </w:r>
      <w:proofErr w:type="spellEnd"/>
      <w:r w:rsidRPr="00C04662">
        <w:rPr>
          <w:rFonts w:ascii="Cambria" w:hAnsi="Cambria"/>
        </w:rPr>
        <w:t xml:space="preserve"> Nord, et l’autre à Arutua. La complexité de ces situations tient principalement aux modalités opérationnelles et financières d’enlèvement de ces navires, mais aussi à ce que, dans ces deux cas, la Polynésie française est confrontée à des propriétaires de navires de nationalité étrangère, dont l’inaction est fortement problématique et lourde d’enjeux, tant environnementaux que pécuniers.</w:t>
      </w:r>
    </w:p>
    <w:p w14:paraId="5012ABF3" w14:textId="77777777" w:rsidR="00C04662" w:rsidRPr="00C04662" w:rsidRDefault="00C04662" w:rsidP="00C04662">
      <w:pPr>
        <w:pStyle w:val="NormalWeb"/>
        <w:jc w:val="both"/>
        <w:rPr>
          <w:rFonts w:ascii="Cambria" w:hAnsi="Cambria"/>
        </w:rPr>
      </w:pPr>
      <w:r w:rsidRPr="00C04662">
        <w:rPr>
          <w:rFonts w:ascii="Cambria" w:hAnsi="Cambria"/>
        </w:rPr>
        <w:t>Concernant le navire de pêche Taïwanais « SHENG LONG YU N°21 »</w:t>
      </w:r>
      <w:r w:rsidRPr="00C04662">
        <w:rPr>
          <w:rStyle w:val="lev"/>
          <w:rFonts w:ascii="Cambria" w:hAnsi="Cambria"/>
        </w:rPr>
        <w:t> </w:t>
      </w:r>
      <w:r w:rsidRPr="00C04662">
        <w:rPr>
          <w:rFonts w:ascii="Cambria" w:hAnsi="Cambria"/>
        </w:rPr>
        <w:t xml:space="preserve">échoué le 5 novembre 2017 sur le platier de l’atoll de </w:t>
      </w:r>
      <w:proofErr w:type="spellStart"/>
      <w:r w:rsidRPr="00C04662">
        <w:rPr>
          <w:rFonts w:ascii="Cambria" w:hAnsi="Cambria"/>
        </w:rPr>
        <w:t>Marutea</w:t>
      </w:r>
      <w:proofErr w:type="spellEnd"/>
      <w:r w:rsidRPr="00C04662">
        <w:rPr>
          <w:rFonts w:ascii="Cambria" w:hAnsi="Cambria"/>
        </w:rPr>
        <w:t xml:space="preserve"> Nord, les opérations de démantèlement un temps interrompues à cause du confinement ont pu reprendre. Après deux ans de procédure et d’échanges avec le représentant de l’armateur, la Polynésie française, face à l’inaction du propriétaire, est finalement autorisée à se subroger dans les droits du propriétaire afin d’intervenir pour l’enlèvement du navire. La liquidation de l’astreinte porte l’amende pour inaction à 975 millions </w:t>
      </w:r>
      <w:proofErr w:type="spellStart"/>
      <w:r w:rsidRPr="00C04662">
        <w:rPr>
          <w:rFonts w:ascii="Cambria" w:hAnsi="Cambria"/>
        </w:rPr>
        <w:t>Fcfp</w:t>
      </w:r>
      <w:proofErr w:type="spellEnd"/>
      <w:r w:rsidRPr="00C04662">
        <w:rPr>
          <w:rFonts w:ascii="Cambria" w:hAnsi="Cambria"/>
        </w:rPr>
        <w:t>.</w:t>
      </w:r>
    </w:p>
    <w:p w14:paraId="775B5686" w14:textId="77777777" w:rsidR="00C04662" w:rsidRPr="00C04662" w:rsidRDefault="00C04662" w:rsidP="00C04662">
      <w:pPr>
        <w:pStyle w:val="NormalWeb"/>
        <w:jc w:val="both"/>
        <w:rPr>
          <w:rFonts w:ascii="Cambria" w:hAnsi="Cambria"/>
        </w:rPr>
      </w:pPr>
      <w:r w:rsidRPr="00C04662">
        <w:rPr>
          <w:rFonts w:ascii="Cambria" w:hAnsi="Cambria"/>
        </w:rPr>
        <w:t xml:space="preserve">Le marché public passé avec la société </w:t>
      </w:r>
      <w:proofErr w:type="spellStart"/>
      <w:r w:rsidRPr="00C04662">
        <w:rPr>
          <w:rFonts w:ascii="Cambria" w:hAnsi="Cambria"/>
        </w:rPr>
        <w:t>Rovotik</w:t>
      </w:r>
      <w:proofErr w:type="spellEnd"/>
      <w:r w:rsidRPr="00C04662">
        <w:rPr>
          <w:rFonts w:ascii="Cambria" w:hAnsi="Cambria"/>
        </w:rPr>
        <w:t xml:space="preserve"> en 2019 a dû être résilié, cette société ayant subi des difficultés qui ont depuis conduit à sa cessation. La cession du marché a été autorisée le 12 octobre 2020 par ordonnance du juge commissaire à la société SAS </w:t>
      </w:r>
      <w:proofErr w:type="spellStart"/>
      <w:r w:rsidRPr="00C04662">
        <w:rPr>
          <w:rFonts w:ascii="Cambria" w:hAnsi="Cambria"/>
        </w:rPr>
        <w:t>Palacz</w:t>
      </w:r>
      <w:proofErr w:type="spellEnd"/>
      <w:r w:rsidRPr="00C04662">
        <w:rPr>
          <w:rFonts w:ascii="Cambria" w:hAnsi="Cambria"/>
        </w:rPr>
        <w:t xml:space="preserve"> au titre de la continuité des contrats en cours. Le 10 avril dernier, le transport maritime des matériels et des équipes de la société SAS </w:t>
      </w:r>
      <w:proofErr w:type="spellStart"/>
      <w:r w:rsidRPr="00C04662">
        <w:rPr>
          <w:rFonts w:ascii="Cambria" w:hAnsi="Cambria"/>
        </w:rPr>
        <w:t>Palacz</w:t>
      </w:r>
      <w:proofErr w:type="spellEnd"/>
      <w:r w:rsidRPr="00C04662">
        <w:rPr>
          <w:rFonts w:ascii="Cambria" w:hAnsi="Cambria"/>
        </w:rPr>
        <w:t xml:space="preserve"> a été réalisé par le navire Tahiti Nui, de sorte que les opérations de </w:t>
      </w:r>
      <w:proofErr w:type="spellStart"/>
      <w:r w:rsidRPr="00C04662">
        <w:rPr>
          <w:rFonts w:ascii="Cambria" w:hAnsi="Cambria"/>
        </w:rPr>
        <w:t>démantelement</w:t>
      </w:r>
      <w:proofErr w:type="spellEnd"/>
      <w:r w:rsidRPr="00C04662">
        <w:rPr>
          <w:rFonts w:ascii="Cambria" w:hAnsi="Cambria"/>
        </w:rPr>
        <w:t xml:space="preserve"> du navire à </w:t>
      </w:r>
      <w:proofErr w:type="spellStart"/>
      <w:r w:rsidRPr="00C04662">
        <w:rPr>
          <w:rFonts w:ascii="Cambria" w:hAnsi="Cambria"/>
        </w:rPr>
        <w:t>Marutea</w:t>
      </w:r>
      <w:proofErr w:type="spellEnd"/>
      <w:r w:rsidRPr="00C04662">
        <w:rPr>
          <w:rFonts w:ascii="Cambria" w:hAnsi="Cambria"/>
        </w:rPr>
        <w:t xml:space="preserve"> Nord ont pu reprendre. La base vie a été installée ainsi que l’aménagement de la plateforme de travail autour de l’épave, de même que la mise en place des mesures de protection et de confinement autour du navire.</w:t>
      </w:r>
    </w:p>
    <w:p w14:paraId="06135D4D" w14:textId="77777777" w:rsidR="00C04662" w:rsidRPr="00C04662" w:rsidRDefault="00C04662" w:rsidP="00C04662">
      <w:pPr>
        <w:pStyle w:val="NormalWeb"/>
        <w:jc w:val="both"/>
        <w:rPr>
          <w:rFonts w:ascii="Cambria" w:hAnsi="Cambria"/>
        </w:rPr>
      </w:pPr>
      <w:r w:rsidRPr="00C04662">
        <w:rPr>
          <w:rFonts w:ascii="Cambria" w:hAnsi="Cambria"/>
        </w:rPr>
        <w:lastRenderedPageBreak/>
        <w:t>Le délai de réalisation des travaux de démantèlement du navire est estimé à deux mois, au pire trois mois. En conséquence, le retrait du navire Shen Long Yu n° 21 et de tous les déchets associés devrait être entièrement achevé à la fin du mois de juin.</w:t>
      </w:r>
    </w:p>
    <w:p w14:paraId="2FEF07F3" w14:textId="77777777" w:rsidR="00C04662" w:rsidRPr="00C04662" w:rsidRDefault="00C04662" w:rsidP="00C04662">
      <w:pPr>
        <w:pStyle w:val="NormalWeb"/>
        <w:jc w:val="both"/>
        <w:rPr>
          <w:rFonts w:ascii="Cambria" w:hAnsi="Cambria"/>
        </w:rPr>
      </w:pPr>
      <w:r w:rsidRPr="00C04662">
        <w:rPr>
          <w:rFonts w:ascii="Cambria" w:hAnsi="Cambria"/>
        </w:rPr>
        <w:t>Concernant le navire de pêche Chinois « SHEN GANG SHUN N°1 » de près de 50 mètres et 700 tonnes échoué le 21 mars 2020 sur le platier récifal ouest de l’atoll de Arutua, avec 250 tonnes de carburant à bord, 15 tonnes de poissons et 62 tonnes d’appâts, la situation est plus complexe.</w:t>
      </w:r>
    </w:p>
    <w:p w14:paraId="0010B8DE" w14:textId="77777777" w:rsidR="00C04662" w:rsidRPr="00C04662" w:rsidRDefault="00C04662" w:rsidP="00C04662">
      <w:pPr>
        <w:pStyle w:val="NormalWeb"/>
        <w:jc w:val="both"/>
        <w:rPr>
          <w:rFonts w:ascii="Cambria" w:hAnsi="Cambria"/>
        </w:rPr>
      </w:pPr>
      <w:r w:rsidRPr="00C04662">
        <w:rPr>
          <w:rFonts w:ascii="Cambria" w:hAnsi="Cambria"/>
        </w:rPr>
        <w:t>Dès le naufrage, la Polynésie française est intervenue puisqu’elle a envoyé une mission d’inspection et d’évaluation le 24 avril 2020, et a procédé à la mise en place d’un barrage anti-hydrocarbures côté lagon pour limiter les risques de pollution. La Polynésie française a également engagé sans tarder les mises en demeure, ainsi que les procédures administratives et judiciaires qu’impose un tel échouement. Le propriétaire s’est montré présent et désireux de récupérer son navire.</w:t>
      </w:r>
    </w:p>
    <w:p w14:paraId="1C90C9FC" w14:textId="77777777" w:rsidR="00C04662" w:rsidRPr="00C04662" w:rsidRDefault="00C04662" w:rsidP="00C04662">
      <w:pPr>
        <w:pStyle w:val="NormalWeb"/>
        <w:jc w:val="both"/>
        <w:rPr>
          <w:rFonts w:ascii="Cambria" w:hAnsi="Cambria"/>
        </w:rPr>
      </w:pPr>
      <w:r w:rsidRPr="00C04662">
        <w:rPr>
          <w:rFonts w:ascii="Cambria" w:hAnsi="Cambria"/>
        </w:rPr>
        <w:t>Une première mission de dépollution a été montée par ses soins en mai 2020, en s’appuyant sur un opérateur local (la société TMP, Travaux Maritimes de Polynésie, appartenant à la société Boyer). Le navire n’a pu être dépollué qu’en partie et les tentatives pour dégager le navire ont été vaines, les moyens déployés s’avérant insuffisants et le risque de déchirer la coque étant réel. L’armateur et son assureur ont donc étudié un second plan sur la base d’une expertise réalisée par des experts dépêchés depuis les Pays-Bas. A compter de décembre 2020 et janvier 2021, l’inaction du propriétaire du navire se concrétise précisément par la révocation de son avocat, et le rejet du 4</w:t>
      </w:r>
      <w:r w:rsidRPr="00C04662">
        <w:rPr>
          <w:rFonts w:ascii="Cambria" w:hAnsi="Cambria"/>
          <w:vertAlign w:val="superscript"/>
        </w:rPr>
        <w:t>ème</w:t>
      </w:r>
      <w:r w:rsidRPr="00C04662">
        <w:rPr>
          <w:rFonts w:ascii="Cambria" w:hAnsi="Cambria"/>
        </w:rPr>
        <w:t xml:space="preserve"> plan opérationnel d’intervention proposé par l’expert mandaté par l’assurance.</w:t>
      </w:r>
    </w:p>
    <w:p w14:paraId="79A177E6" w14:textId="3DE32C1F" w:rsidR="00C04662" w:rsidRPr="00C04662" w:rsidRDefault="00C04662" w:rsidP="00C04662">
      <w:pPr>
        <w:pStyle w:val="NormalWeb"/>
        <w:jc w:val="both"/>
        <w:rPr>
          <w:rFonts w:ascii="Cambria" w:hAnsi="Cambria"/>
        </w:rPr>
      </w:pPr>
      <w:r w:rsidRPr="00C04662">
        <w:rPr>
          <w:rFonts w:ascii="Cambria" w:hAnsi="Cambria"/>
        </w:rPr>
        <w:t xml:space="preserve">Une plainte déposée en avril 2020 auprès du </w:t>
      </w:r>
      <w:r w:rsidR="002F5CCE">
        <w:rPr>
          <w:rFonts w:ascii="Cambria" w:hAnsi="Cambria"/>
        </w:rPr>
        <w:t>p</w:t>
      </w:r>
      <w:r w:rsidRPr="00C04662">
        <w:rPr>
          <w:rFonts w:ascii="Cambria" w:hAnsi="Cambria"/>
        </w:rPr>
        <w:t xml:space="preserve">rocureur de la République à l’encontre des sociétés propriétaires et exploitantes du navire Shen Gang </w:t>
      </w:r>
      <w:proofErr w:type="spellStart"/>
      <w:r w:rsidRPr="00C04662">
        <w:rPr>
          <w:rFonts w:ascii="Cambria" w:hAnsi="Cambria"/>
        </w:rPr>
        <w:t>Shun</w:t>
      </w:r>
      <w:proofErr w:type="spellEnd"/>
      <w:r w:rsidRPr="00C04662">
        <w:rPr>
          <w:rFonts w:ascii="Cambria" w:hAnsi="Cambria"/>
        </w:rPr>
        <w:t xml:space="preserve"> 1 pour pollution maritime des eaux territoriales par substance polluante (pollution aux hydrocarbures) et détention d’espèce protégée (requin) est en cours. </w:t>
      </w:r>
      <w:proofErr w:type="gramStart"/>
      <w:r w:rsidRPr="00C04662">
        <w:rPr>
          <w:rFonts w:ascii="Cambria" w:hAnsi="Cambria"/>
        </w:rPr>
        <w:t>Au</w:t>
      </w:r>
      <w:proofErr w:type="gramEnd"/>
      <w:r w:rsidRPr="00C04662">
        <w:rPr>
          <w:rFonts w:ascii="Cambria" w:hAnsi="Cambria"/>
        </w:rPr>
        <w:t xml:space="preserve"> plan administratif, l’ensemble de la procédure administrative contentieuse a été entièrement favorable au Pays, devant le tribunal administratif et devant le conseil d’Etat.</w:t>
      </w:r>
    </w:p>
    <w:p w14:paraId="4281B89A" w14:textId="77777777" w:rsidR="00C04662" w:rsidRPr="00C04662" w:rsidRDefault="00C04662" w:rsidP="00C04662">
      <w:pPr>
        <w:pStyle w:val="NormalWeb"/>
        <w:jc w:val="both"/>
        <w:rPr>
          <w:rFonts w:ascii="Cambria" w:hAnsi="Cambria"/>
        </w:rPr>
      </w:pPr>
      <w:r w:rsidRPr="00C04662">
        <w:rPr>
          <w:rFonts w:ascii="Cambria" w:hAnsi="Cambria"/>
        </w:rPr>
        <w:t xml:space="preserve">Les autorités chinoises ont été informées et une action diplomatique a été engagée pour tenter de faire agir le propriétaire, et étudier les conditions de la mise en </w:t>
      </w:r>
      <w:proofErr w:type="spellStart"/>
      <w:r w:rsidRPr="00C04662">
        <w:rPr>
          <w:rFonts w:ascii="Cambria" w:hAnsi="Cambria"/>
        </w:rPr>
        <w:t>oeuvre</w:t>
      </w:r>
      <w:proofErr w:type="spellEnd"/>
      <w:r w:rsidRPr="00C04662">
        <w:rPr>
          <w:rFonts w:ascii="Cambria" w:hAnsi="Cambria"/>
        </w:rPr>
        <w:t xml:space="preserve"> d’une procédure d’exéquatur sur laquelle le Pays n’a encore aucun retour.</w:t>
      </w:r>
    </w:p>
    <w:p w14:paraId="0593C424" w14:textId="77777777" w:rsidR="00C04662" w:rsidRPr="00C04662" w:rsidRDefault="00C04662" w:rsidP="00C04662">
      <w:pPr>
        <w:pStyle w:val="NormalWeb"/>
        <w:jc w:val="both"/>
        <w:rPr>
          <w:rFonts w:ascii="Cambria" w:hAnsi="Cambria"/>
        </w:rPr>
      </w:pPr>
      <w:r w:rsidRPr="00C04662">
        <w:rPr>
          <w:rFonts w:ascii="Cambria" w:hAnsi="Cambria"/>
        </w:rPr>
        <w:t>Face à l’inaction du propriétaire, et forte des décisions en sa faveur, la Polynésie française est autorisée à procéder elle-même à ces opérations aux frais du propriétaire, après s’être assurée que son action n’interfère pas sur la procédure pénale en cours.</w:t>
      </w:r>
    </w:p>
    <w:p w14:paraId="10D8448A" w14:textId="77777777" w:rsidR="00C04662" w:rsidRPr="00C04662" w:rsidRDefault="00C04662" w:rsidP="00C04662">
      <w:pPr>
        <w:pStyle w:val="NormalWeb"/>
        <w:jc w:val="both"/>
        <w:rPr>
          <w:rFonts w:ascii="Cambria" w:hAnsi="Cambria"/>
        </w:rPr>
      </w:pPr>
      <w:r w:rsidRPr="00C04662">
        <w:rPr>
          <w:rFonts w:ascii="Cambria" w:hAnsi="Cambria"/>
        </w:rPr>
        <w:t xml:space="preserve">Dès lors, le gouvernement a donné son accord pour que soit passé un marché public pour procéder à l’enlèvement de l’épave du navire. Cette décision s’appuie sur des rapports d’expertises préliminaires qui préconisent, soit la dépollution et le démantèlement du navire sur site, comme c’est le cas à </w:t>
      </w:r>
      <w:proofErr w:type="spellStart"/>
      <w:r w:rsidRPr="00C04662">
        <w:rPr>
          <w:rFonts w:ascii="Cambria" w:hAnsi="Cambria"/>
        </w:rPr>
        <w:t>Marutea</w:t>
      </w:r>
      <w:proofErr w:type="spellEnd"/>
      <w:r w:rsidRPr="00C04662">
        <w:rPr>
          <w:rFonts w:ascii="Cambria" w:hAnsi="Cambria"/>
        </w:rPr>
        <w:t xml:space="preserve"> Nord, soit l’extraction du navire (section par section ou en entier), ce qui suppose un moyen de levage de grande capacité pour l’embarquement sur un navire support dédié afin de réaliser le transport du navire découpé vers un site dédié (souvent à l’étranger) pour sa dépollution et son démantèlement final.</w:t>
      </w:r>
    </w:p>
    <w:p w14:paraId="53CA2318" w14:textId="77777777" w:rsidR="00C04662" w:rsidRPr="00C04662" w:rsidRDefault="00C04662" w:rsidP="00C04662">
      <w:pPr>
        <w:pStyle w:val="NormalWeb"/>
        <w:jc w:val="both"/>
        <w:rPr>
          <w:rFonts w:ascii="Cambria" w:hAnsi="Cambria"/>
        </w:rPr>
      </w:pPr>
      <w:r w:rsidRPr="00C04662">
        <w:rPr>
          <w:rFonts w:ascii="Cambria" w:hAnsi="Cambria"/>
        </w:rPr>
        <w:t xml:space="preserve">Cette dernière option, inédite en Polynésie française, requiert des compétences spécialisées et des moyens opérationnels extrêmement conséquents non disponibles sur le territoire. C’est probablement la méthode la moins abrasive pour le récif, la plus rapide </w:t>
      </w:r>
      <w:r w:rsidRPr="00C04662">
        <w:rPr>
          <w:rFonts w:ascii="Cambria" w:hAnsi="Cambria"/>
        </w:rPr>
        <w:lastRenderedPageBreak/>
        <w:t>en termes d’intervention comme la plus sécurisée, mais il convient d’abord d’identifier la société spécialisée « salvage » et leur délai d’action sur la base d’un appel d’offres international.</w:t>
      </w:r>
    </w:p>
    <w:p w14:paraId="0CB13C12" w14:textId="77777777" w:rsidR="00C04662" w:rsidRPr="00C04662" w:rsidRDefault="00C04662" w:rsidP="00C04662">
      <w:pPr>
        <w:pStyle w:val="NormalWeb"/>
        <w:jc w:val="both"/>
        <w:rPr>
          <w:rFonts w:ascii="Cambria" w:hAnsi="Cambria"/>
        </w:rPr>
      </w:pPr>
      <w:r w:rsidRPr="00C04662">
        <w:rPr>
          <w:rFonts w:ascii="Cambria" w:hAnsi="Cambria"/>
        </w:rPr>
        <w:t>En parallèle, une réflexion va être menée pour déterminer toutes les mesures préventives que la Polynésie française pourrait envisager pour se prémunir au mieux de ce type événement.</w:t>
      </w:r>
    </w:p>
    <w:p w14:paraId="065A24AE" w14:textId="77777777" w:rsidR="00C04662" w:rsidRPr="00C04662" w:rsidRDefault="00C04662" w:rsidP="00C04662">
      <w:pPr>
        <w:pStyle w:val="NormalWeb"/>
        <w:jc w:val="both"/>
        <w:rPr>
          <w:rFonts w:ascii="Cambria" w:hAnsi="Cambria"/>
        </w:rPr>
      </w:pPr>
      <w:r w:rsidRPr="00C04662">
        <w:rPr>
          <w:rStyle w:val="lev"/>
          <w:rFonts w:ascii="Cambria" w:hAnsi="Cambria"/>
        </w:rPr>
        <w:t> </w:t>
      </w:r>
    </w:p>
    <w:p w14:paraId="4B3DEC25" w14:textId="4F207269" w:rsidR="00C04662" w:rsidRPr="00C04662" w:rsidRDefault="00C04662" w:rsidP="00C04662">
      <w:pPr>
        <w:pStyle w:val="NormalWeb"/>
        <w:jc w:val="both"/>
        <w:rPr>
          <w:rFonts w:ascii="Cambria" w:hAnsi="Cambria"/>
        </w:rPr>
      </w:pPr>
      <w:r w:rsidRPr="00C04662">
        <w:rPr>
          <w:rStyle w:val="lev"/>
          <w:rFonts w:ascii="Cambria" w:hAnsi="Cambria"/>
        </w:rPr>
        <w:t xml:space="preserve">Transport maritime </w:t>
      </w:r>
      <w:proofErr w:type="gramStart"/>
      <w:r w:rsidRPr="00C04662">
        <w:rPr>
          <w:rStyle w:val="lev"/>
          <w:rFonts w:ascii="Cambria" w:hAnsi="Cambria"/>
        </w:rPr>
        <w:t>intérieur:</w:t>
      </w:r>
      <w:proofErr w:type="gramEnd"/>
      <w:r w:rsidRPr="00C04662">
        <w:rPr>
          <w:rStyle w:val="lev"/>
          <w:rFonts w:ascii="Cambria" w:hAnsi="Cambria"/>
        </w:rPr>
        <w:t xml:space="preserve"> délibération modifiée pour s’harmoniser avec la nouvelle loi de Pays</w:t>
      </w:r>
    </w:p>
    <w:p w14:paraId="2199257B" w14:textId="3AB6C0FF" w:rsidR="00C04662" w:rsidRPr="00C04662" w:rsidRDefault="00C04662" w:rsidP="00C04662">
      <w:pPr>
        <w:pStyle w:val="NormalWeb"/>
        <w:jc w:val="both"/>
        <w:rPr>
          <w:rFonts w:ascii="Cambria" w:hAnsi="Cambria"/>
        </w:rPr>
      </w:pPr>
      <w:r w:rsidRPr="00C04662">
        <w:rPr>
          <w:rFonts w:ascii="Cambria" w:hAnsi="Cambria"/>
        </w:rPr>
        <w:t xml:space="preserve">Le 25 février 2021, l’Assemblée de la Polynésie française a modifié à l’unanimité la loi du Pays du 25 février 2016 relative à l’organisation du transport intérieur maritime et aérien. Cette dernière met en place un encadrement de cette activité concurrentielle de transport par délivrance d’une licence d’exploitation aux opérateurs. Elle propose également une organisation générale du transport interinsulaire maritime et aérien et des missions de service public liées à ce transport interinsulaire. Les modifications ont été apportées </w:t>
      </w:r>
      <w:proofErr w:type="gramStart"/>
      <w:r w:rsidRPr="00C04662">
        <w:rPr>
          <w:rFonts w:ascii="Cambria" w:hAnsi="Cambria"/>
        </w:rPr>
        <w:t>afin:</w:t>
      </w:r>
      <w:proofErr w:type="gramEnd"/>
    </w:p>
    <w:p w14:paraId="0B3F9197" w14:textId="77777777" w:rsidR="00C04662" w:rsidRPr="00C04662" w:rsidRDefault="00C04662" w:rsidP="00C04662">
      <w:pPr>
        <w:numPr>
          <w:ilvl w:val="0"/>
          <w:numId w:val="23"/>
        </w:numPr>
        <w:spacing w:before="100" w:beforeAutospacing="1" w:after="100" w:afterAutospacing="1"/>
        <w:jc w:val="both"/>
        <w:rPr>
          <w:rFonts w:ascii="Cambria" w:hAnsi="Cambria"/>
        </w:rPr>
      </w:pPr>
      <w:r w:rsidRPr="00C04662">
        <w:rPr>
          <w:rFonts w:ascii="Cambria" w:hAnsi="Cambria"/>
        </w:rPr>
        <w:t>D’assurer une meilleure lisibilité de la loi du Pays et de ses textes d’application ;</w:t>
      </w:r>
    </w:p>
    <w:p w14:paraId="20C10049" w14:textId="77777777" w:rsidR="00C04662" w:rsidRPr="00C04662" w:rsidRDefault="00C04662" w:rsidP="00C04662">
      <w:pPr>
        <w:numPr>
          <w:ilvl w:val="0"/>
          <w:numId w:val="23"/>
        </w:numPr>
        <w:spacing w:before="100" w:beforeAutospacing="1" w:after="100" w:afterAutospacing="1"/>
        <w:jc w:val="both"/>
        <w:rPr>
          <w:rFonts w:ascii="Cambria" w:hAnsi="Cambria"/>
        </w:rPr>
      </w:pPr>
      <w:r w:rsidRPr="00C04662">
        <w:rPr>
          <w:rFonts w:ascii="Cambria" w:hAnsi="Cambria"/>
        </w:rPr>
        <w:t>De permettre aux communes compétentes pour le transport communal et les communautés de communes ayant pris la compétence en matière de « transport inter-îles » d’exercer leur compétence ;</w:t>
      </w:r>
    </w:p>
    <w:p w14:paraId="2734AD5D" w14:textId="77777777" w:rsidR="00C04662" w:rsidRPr="00C04662" w:rsidRDefault="00C04662" w:rsidP="00C04662">
      <w:pPr>
        <w:numPr>
          <w:ilvl w:val="0"/>
          <w:numId w:val="23"/>
        </w:numPr>
        <w:spacing w:before="100" w:beforeAutospacing="1" w:after="100" w:afterAutospacing="1"/>
        <w:jc w:val="both"/>
        <w:rPr>
          <w:rFonts w:ascii="Cambria" w:hAnsi="Cambria"/>
        </w:rPr>
      </w:pPr>
      <w:r w:rsidRPr="00C04662">
        <w:rPr>
          <w:rFonts w:ascii="Cambria" w:hAnsi="Cambria"/>
        </w:rPr>
        <w:t>D’étendre le régime des sanctions, actuellement circonscrit aux seuls défauts ou excès d’escales dans des îles, à l’ensemble des manquements relatifs aux obligations de service public imposées aux opérateurs.</w:t>
      </w:r>
    </w:p>
    <w:p w14:paraId="2AEB8F25" w14:textId="77777777" w:rsidR="00C04662" w:rsidRPr="00C04662" w:rsidRDefault="00C04662" w:rsidP="00C04662">
      <w:pPr>
        <w:pStyle w:val="NormalWeb"/>
        <w:jc w:val="both"/>
        <w:rPr>
          <w:rFonts w:ascii="Cambria" w:hAnsi="Cambria"/>
        </w:rPr>
      </w:pPr>
      <w:r w:rsidRPr="00C04662">
        <w:rPr>
          <w:rFonts w:ascii="Cambria" w:hAnsi="Cambria"/>
        </w:rPr>
        <w:t>Il convient maintenant de modifier la délibération de l’Assemblée de la Polynésie française du 14 décembre 2017 modifiée complétant cette loi du Pays dans le domaine du transport maritime intérieur afin d’homogénéiser les textes réglementaires encadrant cette activité essentielle pour les habitants des îles autres que Tahiti. Le Conseil des ministres a rendu un avis favorable à la transmission de ces modifications qui seront soumises très prochainement à l’Assemblée de la Polynésie française.</w:t>
      </w:r>
    </w:p>
    <w:p w14:paraId="29DF476C" w14:textId="77777777" w:rsidR="00C04662" w:rsidRPr="00C04662" w:rsidRDefault="00C04662" w:rsidP="00C04662">
      <w:pPr>
        <w:pStyle w:val="NormalWeb"/>
        <w:jc w:val="both"/>
        <w:rPr>
          <w:rFonts w:ascii="Cambria" w:hAnsi="Cambria"/>
        </w:rPr>
      </w:pPr>
      <w:r w:rsidRPr="00C04662">
        <w:rPr>
          <w:rFonts w:ascii="Cambria" w:hAnsi="Cambria"/>
        </w:rPr>
        <w:t> </w:t>
      </w:r>
    </w:p>
    <w:p w14:paraId="75C3D0EC" w14:textId="53B56AF8" w:rsidR="00C04662" w:rsidRDefault="00C04662" w:rsidP="00C04662">
      <w:pPr>
        <w:pStyle w:val="NormalWeb"/>
        <w:jc w:val="both"/>
        <w:rPr>
          <w:rStyle w:val="lev"/>
          <w:rFonts w:ascii="Cambria" w:hAnsi="Cambria"/>
        </w:rPr>
      </w:pPr>
      <w:r w:rsidRPr="00C04662">
        <w:rPr>
          <w:rStyle w:val="lev"/>
          <w:rFonts w:ascii="Cambria" w:hAnsi="Cambria"/>
        </w:rPr>
        <w:t xml:space="preserve">Pose du SWAC de </w:t>
      </w:r>
      <w:proofErr w:type="spellStart"/>
      <w:proofErr w:type="gramStart"/>
      <w:r w:rsidRPr="00C04662">
        <w:rPr>
          <w:rStyle w:val="lev"/>
          <w:rFonts w:ascii="Cambria" w:hAnsi="Cambria"/>
        </w:rPr>
        <w:t>Taaone</w:t>
      </w:r>
      <w:proofErr w:type="spellEnd"/>
      <w:r w:rsidRPr="00C04662">
        <w:rPr>
          <w:rStyle w:val="lev"/>
          <w:rFonts w:ascii="Cambria" w:hAnsi="Cambria"/>
        </w:rPr>
        <w:t>:</w:t>
      </w:r>
      <w:proofErr w:type="gramEnd"/>
      <w:r w:rsidRPr="00C04662">
        <w:rPr>
          <w:rStyle w:val="lev"/>
          <w:rFonts w:ascii="Cambria" w:hAnsi="Cambria"/>
        </w:rPr>
        <w:t xml:space="preserve"> restrictions à la navigation maritime </w:t>
      </w:r>
    </w:p>
    <w:p w14:paraId="71D59B96" w14:textId="77777777" w:rsidR="002F5CCE" w:rsidRPr="00C04662" w:rsidRDefault="002F5CCE" w:rsidP="00C04662">
      <w:pPr>
        <w:pStyle w:val="NormalWeb"/>
        <w:jc w:val="both"/>
        <w:rPr>
          <w:rFonts w:ascii="Cambria" w:hAnsi="Cambria"/>
        </w:rPr>
      </w:pPr>
    </w:p>
    <w:p w14:paraId="7432F401" w14:textId="77777777" w:rsidR="00C04662" w:rsidRPr="00C04662" w:rsidRDefault="00C04662" w:rsidP="00C04662">
      <w:pPr>
        <w:pStyle w:val="NormalWeb"/>
        <w:jc w:val="both"/>
        <w:rPr>
          <w:rFonts w:ascii="Cambria" w:hAnsi="Cambria"/>
        </w:rPr>
      </w:pPr>
      <w:r w:rsidRPr="00C04662">
        <w:rPr>
          <w:rFonts w:ascii="Cambria" w:hAnsi="Cambria"/>
        </w:rPr>
        <w:t xml:space="preserve">Les travaux maritimes de pose des conduites d’alimentation et d’évacuation des eaux de mer nécessaires au fonctionnement du SWAC de l’hôpital de </w:t>
      </w:r>
      <w:proofErr w:type="spellStart"/>
      <w:r w:rsidRPr="00C04662">
        <w:rPr>
          <w:rFonts w:ascii="Cambria" w:hAnsi="Cambria"/>
        </w:rPr>
        <w:t>Taaone</w:t>
      </w:r>
      <w:proofErr w:type="spellEnd"/>
      <w:r w:rsidRPr="00C04662">
        <w:rPr>
          <w:rFonts w:ascii="Cambria" w:hAnsi="Cambria"/>
        </w:rPr>
        <w:t xml:space="preserve"> ont démarré en avril dernier. Les tuyaux qui seront posés au fond de la baie de </w:t>
      </w:r>
      <w:proofErr w:type="spellStart"/>
      <w:r w:rsidRPr="00C04662">
        <w:rPr>
          <w:rFonts w:ascii="Cambria" w:hAnsi="Cambria"/>
        </w:rPr>
        <w:t>Taaone</w:t>
      </w:r>
      <w:proofErr w:type="spellEnd"/>
      <w:r w:rsidRPr="00C04662">
        <w:rPr>
          <w:rFonts w:ascii="Cambria" w:hAnsi="Cambria"/>
        </w:rPr>
        <w:t xml:space="preserve"> jusqu’au large vont être transportés de la baie de Phaéton où ils ont été assemblés, à la baie de </w:t>
      </w:r>
      <w:proofErr w:type="spellStart"/>
      <w:r w:rsidRPr="00C04662">
        <w:rPr>
          <w:rFonts w:ascii="Cambria" w:hAnsi="Cambria"/>
        </w:rPr>
        <w:t>Taaone</w:t>
      </w:r>
      <w:proofErr w:type="spellEnd"/>
      <w:r w:rsidRPr="00C04662">
        <w:rPr>
          <w:rFonts w:ascii="Cambria" w:hAnsi="Cambria"/>
        </w:rPr>
        <w:t xml:space="preserve"> où ils seront posés.</w:t>
      </w:r>
    </w:p>
    <w:p w14:paraId="61C7B762" w14:textId="77777777" w:rsidR="00C04662" w:rsidRPr="00C04662" w:rsidRDefault="00C04662" w:rsidP="00C04662">
      <w:pPr>
        <w:pStyle w:val="NormalWeb"/>
        <w:jc w:val="both"/>
        <w:rPr>
          <w:rFonts w:ascii="Cambria" w:hAnsi="Cambria"/>
        </w:rPr>
      </w:pPr>
      <w:r w:rsidRPr="00C04662">
        <w:rPr>
          <w:rFonts w:ascii="Cambria" w:hAnsi="Cambria"/>
        </w:rPr>
        <w:t>Ces opérations vont se dérouler en trois phases.</w:t>
      </w:r>
    </w:p>
    <w:p w14:paraId="45D30F88" w14:textId="77777777" w:rsidR="00C04662" w:rsidRPr="00C04662" w:rsidRDefault="00C04662" w:rsidP="00C04662">
      <w:pPr>
        <w:pStyle w:val="NormalWeb"/>
        <w:jc w:val="both"/>
        <w:rPr>
          <w:rFonts w:ascii="Cambria" w:hAnsi="Cambria"/>
        </w:rPr>
      </w:pPr>
      <w:r w:rsidRPr="00C04662">
        <w:rPr>
          <w:rFonts w:ascii="Cambria" w:hAnsi="Cambria"/>
        </w:rPr>
        <w:t xml:space="preserve">La première phase est en cours et se terminera fin juin selon le calendrier prévisionnel. Ces travaux mobilisent le remorqueur Vos Champion, des équipes de plongeurs et un ponton de 12 mètres qui servira de support à une pelle hydraulique. Ces engins vont intervenir à différents endroits pour la pose de pieux destinés à la fixation des conduites sur les fonds marins et pour le creusement d’une tranchée aux abords de la plage de Pirae. Il est prévu d’interdire le passage des navires entre le remorqueur et le récif ouest de la </w:t>
      </w:r>
      <w:r w:rsidRPr="00C04662">
        <w:rPr>
          <w:rFonts w:ascii="Cambria" w:hAnsi="Cambria"/>
        </w:rPr>
        <w:lastRenderedPageBreak/>
        <w:t xml:space="preserve">passe de </w:t>
      </w:r>
      <w:proofErr w:type="spellStart"/>
      <w:r w:rsidRPr="00C04662">
        <w:rPr>
          <w:rFonts w:ascii="Cambria" w:hAnsi="Cambria"/>
        </w:rPr>
        <w:t>Taunoa</w:t>
      </w:r>
      <w:proofErr w:type="spellEnd"/>
      <w:r w:rsidRPr="00C04662">
        <w:rPr>
          <w:rFonts w:ascii="Cambria" w:hAnsi="Cambria"/>
        </w:rPr>
        <w:t>, et d’imposer une distance de 50 mètres entre le remorqueur et les navires entrant ou sortant de la baie. Une distance de sécurité plus importante de 100 mètres est fixée autour des plongeurs. La position de ces plongeurs sera matérialisée par un navire portant pavillon Alpha (blanc et bleu).</w:t>
      </w:r>
    </w:p>
    <w:p w14:paraId="4D07A195" w14:textId="77777777" w:rsidR="00C04662" w:rsidRPr="00C04662" w:rsidRDefault="00C04662" w:rsidP="00C04662">
      <w:pPr>
        <w:pStyle w:val="NormalWeb"/>
        <w:jc w:val="both"/>
        <w:rPr>
          <w:rFonts w:ascii="Cambria" w:hAnsi="Cambria"/>
        </w:rPr>
      </w:pPr>
      <w:r w:rsidRPr="00C04662">
        <w:rPr>
          <w:rFonts w:ascii="Cambria" w:hAnsi="Cambria"/>
        </w:rPr>
        <w:t xml:space="preserve">La seconde phase consistera au remorquage de quatre conduits depuis la zone d’assemblage dans la baie de Phaéton jusqu’à leur installation dans la baie de </w:t>
      </w:r>
      <w:proofErr w:type="spellStart"/>
      <w:r w:rsidRPr="00C04662">
        <w:rPr>
          <w:rFonts w:ascii="Cambria" w:hAnsi="Cambria"/>
        </w:rPr>
        <w:t>Taaone</w:t>
      </w:r>
      <w:proofErr w:type="spellEnd"/>
      <w:r w:rsidRPr="00C04662">
        <w:rPr>
          <w:rFonts w:ascii="Cambria" w:hAnsi="Cambria"/>
        </w:rPr>
        <w:t xml:space="preserve">. Selon le calendrier fourni par la société </w:t>
      </w:r>
      <w:proofErr w:type="spellStart"/>
      <w:r w:rsidRPr="00C04662">
        <w:rPr>
          <w:rFonts w:ascii="Cambria" w:hAnsi="Cambria"/>
        </w:rPr>
        <w:t>Geocean</w:t>
      </w:r>
      <w:proofErr w:type="spellEnd"/>
      <w:r w:rsidRPr="00C04662">
        <w:rPr>
          <w:rFonts w:ascii="Cambria" w:hAnsi="Cambria"/>
        </w:rPr>
        <w:t>, cette phase devrait débuter à partir du 12 mai, l’acheminement des conduits se faisant par l’extérieur du lagon. Chaque opération de remorquage est prévue de durer un jour et demi. La totalité des transferts devant se terminer début juin selon le calendrier prévisionnel de la société et des conditions météorologiques. Les acheminements sont effectués par le remorqueur multifonctions Vos Champion qui sera accompagné de trois thoniers chargés d’assurer la sécurité du conduit, de le surveiller et au besoin de le guider. Deux autres navires seront également positionnés au large.</w:t>
      </w:r>
    </w:p>
    <w:p w14:paraId="38CEAE6A" w14:textId="77777777" w:rsidR="00C04662" w:rsidRPr="00C04662" w:rsidRDefault="00C04662" w:rsidP="00C04662">
      <w:pPr>
        <w:pStyle w:val="NormalWeb"/>
        <w:jc w:val="both"/>
        <w:rPr>
          <w:rFonts w:ascii="Cambria" w:hAnsi="Cambria"/>
        </w:rPr>
      </w:pPr>
      <w:r w:rsidRPr="00C04662">
        <w:rPr>
          <w:rFonts w:ascii="Cambria" w:hAnsi="Cambria"/>
        </w:rPr>
        <w:t xml:space="preserve">L’importance du dispositif et le nombre de navires mobilisés requiert un cadre règlementaire particulier et un encadrement des plans d’eau pendant toute la durée du transport. L’arrêté qui sera pris prévoit trois zones maritimes de circulation et de navigation règlementée, une dans la baie de Phaéton, deux autres dans la baie de </w:t>
      </w:r>
      <w:proofErr w:type="spellStart"/>
      <w:r w:rsidRPr="00C04662">
        <w:rPr>
          <w:rFonts w:ascii="Cambria" w:hAnsi="Cambria"/>
        </w:rPr>
        <w:t>Taaone</w:t>
      </w:r>
      <w:proofErr w:type="spellEnd"/>
      <w:r w:rsidRPr="00C04662">
        <w:rPr>
          <w:rFonts w:ascii="Cambria" w:hAnsi="Cambria"/>
        </w:rPr>
        <w:t xml:space="preserve">. Les activités subaquatiques, la navigation, la circulation, le stationnement et le mouillage y seront interdits. Ces zones seront activées progressivement au moment de leur utilisation afin de limiter la gêne que ces restrictions temporaires pourraient causer. Le périmètre de sécurité autour du convoi, dans les baies de Phaéton et de </w:t>
      </w:r>
      <w:proofErr w:type="spellStart"/>
      <w:r w:rsidRPr="00C04662">
        <w:rPr>
          <w:rFonts w:ascii="Cambria" w:hAnsi="Cambria"/>
        </w:rPr>
        <w:t>Taaone</w:t>
      </w:r>
      <w:proofErr w:type="spellEnd"/>
      <w:r w:rsidRPr="00C04662">
        <w:rPr>
          <w:rFonts w:ascii="Cambria" w:hAnsi="Cambria"/>
        </w:rPr>
        <w:t xml:space="preserve"> et lorsque le convoi passe au large, sera particulièrement étendu pour des raisons de sécurité.</w:t>
      </w:r>
    </w:p>
    <w:p w14:paraId="6C05F7D0" w14:textId="77777777" w:rsidR="00C04662" w:rsidRPr="00C04662" w:rsidRDefault="00C04662" w:rsidP="00C04662">
      <w:pPr>
        <w:pStyle w:val="NormalWeb"/>
        <w:jc w:val="both"/>
        <w:rPr>
          <w:rFonts w:ascii="Cambria" w:hAnsi="Cambria"/>
        </w:rPr>
      </w:pPr>
      <w:r w:rsidRPr="00C04662">
        <w:rPr>
          <w:rFonts w:ascii="Cambria" w:hAnsi="Cambria"/>
        </w:rPr>
        <w:t xml:space="preserve">La troisième phase concerne la pose des tuyaux dans la baie de </w:t>
      </w:r>
      <w:proofErr w:type="spellStart"/>
      <w:r w:rsidRPr="00C04662">
        <w:rPr>
          <w:rFonts w:ascii="Cambria" w:hAnsi="Cambria"/>
        </w:rPr>
        <w:t>Taaone</w:t>
      </w:r>
      <w:proofErr w:type="spellEnd"/>
      <w:r w:rsidRPr="00C04662">
        <w:rPr>
          <w:rFonts w:ascii="Cambria" w:hAnsi="Cambria"/>
        </w:rPr>
        <w:t xml:space="preserve"> et au large de celle-ci. Ces travaux mobilisent le remorqueur Vos Champion, des équipes de plongeurs et d’autres navires de travaux maritimes. Le conduit étant immergé progressivement à des profondeurs importantes, une reprise de la navigation est possible sur les zones où le conduit ne sera plus en surface. La société </w:t>
      </w:r>
      <w:proofErr w:type="spellStart"/>
      <w:r w:rsidRPr="00C04662">
        <w:rPr>
          <w:rFonts w:ascii="Cambria" w:hAnsi="Cambria"/>
        </w:rPr>
        <w:t>Geocean</w:t>
      </w:r>
      <w:proofErr w:type="spellEnd"/>
      <w:r w:rsidRPr="00C04662">
        <w:rPr>
          <w:rFonts w:ascii="Cambria" w:hAnsi="Cambria"/>
        </w:rPr>
        <w:t xml:space="preserve"> sollicite du Pays la mise en place d’un dispositif règlementaire spécifique régulant la circulation et la navigation maritime dans cette zone pendant toute la durée des travaux, estimés à deux semaines</w:t>
      </w:r>
      <w:r w:rsidRPr="00C04662">
        <w:rPr>
          <w:rStyle w:val="lev"/>
          <w:rFonts w:ascii="Cambria" w:hAnsi="Cambria"/>
        </w:rPr>
        <w:t xml:space="preserve">. </w:t>
      </w:r>
      <w:r w:rsidRPr="00C04662">
        <w:rPr>
          <w:rFonts w:ascii="Cambria" w:hAnsi="Cambria"/>
        </w:rPr>
        <w:t>La société a constaté des comportements à risques qui auraient pu générer des situations dangereuses. Le tracé du conduit sera matérialisé par des flotteurs. De même des plongeurs vont opérer dans ces zones pour la fixation des pieux et des conduits. Ces dispositions feront l’objet d’AVINAV (avis aux navigateurs) et régulièrement rappelées par VHF par le JRCC Tahiti, la vigie du port de pêche et la vigie du port autonome.</w:t>
      </w:r>
    </w:p>
    <w:p w14:paraId="3C00E890" w14:textId="77777777" w:rsidR="00C04662" w:rsidRPr="00C04662" w:rsidRDefault="00C04662" w:rsidP="00C04662">
      <w:pPr>
        <w:pStyle w:val="NormalWeb"/>
        <w:jc w:val="both"/>
        <w:rPr>
          <w:rFonts w:ascii="Cambria" w:hAnsi="Cambria"/>
        </w:rPr>
      </w:pPr>
      <w:r w:rsidRPr="00C04662">
        <w:rPr>
          <w:rFonts w:ascii="Cambria" w:hAnsi="Cambria"/>
        </w:rPr>
        <w:t xml:space="preserve">Les cartes des différentes zones faisant l’objet de restriction à la navigation seront disponibles sur le site de la DPAM : </w:t>
      </w:r>
      <w:hyperlink r:id="rId9" w:history="1">
        <w:r w:rsidRPr="00C04662">
          <w:rPr>
            <w:rStyle w:val="Lienhypertexte"/>
            <w:rFonts w:ascii="Cambria" w:hAnsi="Cambria"/>
          </w:rPr>
          <w:t>www.maritime.gov.pf</w:t>
        </w:r>
      </w:hyperlink>
    </w:p>
    <w:p w14:paraId="09E6BBDA" w14:textId="77777777" w:rsidR="00C04662" w:rsidRPr="00C04662" w:rsidRDefault="00C04662" w:rsidP="00C04662">
      <w:pPr>
        <w:pStyle w:val="NormalWeb"/>
        <w:jc w:val="both"/>
        <w:rPr>
          <w:rFonts w:ascii="Cambria" w:hAnsi="Cambria"/>
        </w:rPr>
      </w:pPr>
      <w:r w:rsidRPr="00C04662">
        <w:rPr>
          <w:rFonts w:ascii="Cambria" w:hAnsi="Cambria"/>
        </w:rPr>
        <w:t xml:space="preserve">La société </w:t>
      </w:r>
      <w:proofErr w:type="spellStart"/>
      <w:r w:rsidRPr="00C04662">
        <w:rPr>
          <w:rFonts w:ascii="Cambria" w:hAnsi="Cambria"/>
        </w:rPr>
        <w:t>Geocean</w:t>
      </w:r>
      <w:proofErr w:type="spellEnd"/>
      <w:r w:rsidRPr="00C04662">
        <w:rPr>
          <w:rFonts w:ascii="Cambria" w:hAnsi="Cambria"/>
        </w:rPr>
        <w:t xml:space="preserve"> diffusera ses propres communications à mesure de l’avancement des opérations.</w:t>
      </w:r>
    </w:p>
    <w:p w14:paraId="73C13E02" w14:textId="77777777" w:rsidR="00C04662" w:rsidRPr="00C04662" w:rsidRDefault="00C04662" w:rsidP="00C04662">
      <w:pPr>
        <w:pStyle w:val="NormalWeb"/>
        <w:jc w:val="both"/>
        <w:rPr>
          <w:rFonts w:ascii="Cambria" w:hAnsi="Cambria"/>
        </w:rPr>
      </w:pPr>
      <w:r w:rsidRPr="00C04662">
        <w:rPr>
          <w:rFonts w:ascii="Cambria" w:hAnsi="Cambria"/>
        </w:rPr>
        <w:t> </w:t>
      </w:r>
    </w:p>
    <w:p w14:paraId="5774CC2F" w14:textId="77777777" w:rsidR="00C04662" w:rsidRPr="00C04662" w:rsidRDefault="00C04662" w:rsidP="00C04662">
      <w:pPr>
        <w:pStyle w:val="NormalWeb"/>
        <w:jc w:val="both"/>
        <w:rPr>
          <w:rFonts w:ascii="Cambria" w:hAnsi="Cambria"/>
        </w:rPr>
      </w:pPr>
      <w:r w:rsidRPr="00C04662">
        <w:rPr>
          <w:rStyle w:val="lev"/>
          <w:rFonts w:ascii="Cambria" w:hAnsi="Cambria"/>
        </w:rPr>
        <w:t>Suivi de l’insertion des salariés licenciés économiques de l’hôtel Intercontinental de Moorea</w:t>
      </w:r>
    </w:p>
    <w:p w14:paraId="36CA11D9" w14:textId="77777777" w:rsidR="00C04662" w:rsidRPr="00C04662" w:rsidRDefault="00C04662" w:rsidP="00C04662">
      <w:pPr>
        <w:pStyle w:val="NormalWeb"/>
        <w:jc w:val="both"/>
        <w:rPr>
          <w:rFonts w:ascii="Cambria" w:hAnsi="Cambria"/>
        </w:rPr>
      </w:pPr>
      <w:proofErr w:type="gramStart"/>
      <w:r w:rsidRPr="00C04662">
        <w:rPr>
          <w:rFonts w:ascii="Cambria" w:hAnsi="Cambria"/>
        </w:rPr>
        <w:t>Suite à</w:t>
      </w:r>
      <w:proofErr w:type="gramEnd"/>
      <w:r w:rsidRPr="00C04662">
        <w:rPr>
          <w:rFonts w:ascii="Cambria" w:hAnsi="Cambria"/>
        </w:rPr>
        <w:t xml:space="preserve"> la crise sanitaire, un plan de sauvegarde a été mis en place par le gouvernement déclenchant un accompagnement prioritaire des victimes de licenciement économique, en particulier ceux qui n’ont pu bénéficier d’indemnités de départ, faute d’ancienneté.</w:t>
      </w:r>
    </w:p>
    <w:p w14:paraId="011B8575" w14:textId="77777777" w:rsidR="00C04662" w:rsidRPr="00C04662" w:rsidRDefault="00C04662" w:rsidP="00C04662">
      <w:pPr>
        <w:pStyle w:val="NormalWeb"/>
        <w:jc w:val="both"/>
        <w:rPr>
          <w:rFonts w:ascii="Cambria" w:hAnsi="Cambria"/>
        </w:rPr>
      </w:pPr>
      <w:r w:rsidRPr="00C04662">
        <w:rPr>
          <w:rFonts w:ascii="Cambria" w:hAnsi="Cambria"/>
        </w:rPr>
        <w:lastRenderedPageBreak/>
        <w:t xml:space="preserve">C’est à ce titre que le CFPA, en partenariat avec le SEFI, a organisé un parcours pilote d’accompagnement des salariés ayant accidentellement perdu collectivement leur emploi </w:t>
      </w:r>
      <w:proofErr w:type="gramStart"/>
      <w:r w:rsidRPr="00C04662">
        <w:rPr>
          <w:rFonts w:ascii="Cambria" w:hAnsi="Cambria"/>
        </w:rPr>
        <w:t>suite à</w:t>
      </w:r>
      <w:proofErr w:type="gramEnd"/>
      <w:r w:rsidRPr="00C04662">
        <w:rPr>
          <w:rFonts w:ascii="Cambria" w:hAnsi="Cambria"/>
        </w:rPr>
        <w:t xml:space="preserve"> la fermeture de leur entreprise, en l’occurrence l’Intercontinental de Moorea. Cette formation a démarré le 5 octobre 2020 pour s’achever le 18 décembre 2020.</w:t>
      </w:r>
    </w:p>
    <w:p w14:paraId="17DB81E5" w14:textId="77777777" w:rsidR="00C04662" w:rsidRPr="00C04662" w:rsidRDefault="00C04662" w:rsidP="00C04662">
      <w:pPr>
        <w:pStyle w:val="NormalWeb"/>
        <w:jc w:val="both"/>
        <w:rPr>
          <w:rFonts w:ascii="Cambria" w:hAnsi="Cambria"/>
        </w:rPr>
      </w:pPr>
      <w:r w:rsidRPr="00C04662">
        <w:rPr>
          <w:rFonts w:ascii="Cambria" w:hAnsi="Cambria"/>
        </w:rPr>
        <w:t>Le CFPA a donc mis en œuvre une nouvelle plateforme numérique, qui leur a permis de se former sur place à Moorea, et surtout de construire un parcours sur mesure pour chacun en fonction de ses habiletés déjà acquises et de ses points faibles, le tout à partir d’un bilan de compétences.</w:t>
      </w:r>
    </w:p>
    <w:p w14:paraId="5B12DDFF" w14:textId="77777777" w:rsidR="00C04662" w:rsidRPr="00C04662" w:rsidRDefault="00C04662" w:rsidP="00C04662">
      <w:pPr>
        <w:pStyle w:val="NormalWeb"/>
        <w:jc w:val="both"/>
        <w:rPr>
          <w:rFonts w:ascii="Cambria" w:hAnsi="Cambria"/>
        </w:rPr>
      </w:pPr>
      <w:r w:rsidRPr="00C04662">
        <w:rPr>
          <w:rFonts w:ascii="Cambria" w:hAnsi="Cambria"/>
        </w:rPr>
        <w:t>Durant cette formation de remobilisation et de renforcement des compétences, les stagiaires ont travaillé sur la valorisation de leurs compétences transférables, la définition d’un projet professionnel. Ils ont également été formés aux techniques de recherches d’emploi et ont bénéficié d’une période d’immersion en entreprise. 32 candidats ont ainsi participé à l’information sur ce projet pilote de formation.</w:t>
      </w:r>
    </w:p>
    <w:p w14:paraId="7DDB60A1" w14:textId="77777777" w:rsidR="00C04662" w:rsidRPr="00C04662" w:rsidRDefault="00C04662" w:rsidP="00C04662">
      <w:pPr>
        <w:pStyle w:val="NormalWeb"/>
        <w:jc w:val="both"/>
        <w:rPr>
          <w:rFonts w:ascii="Cambria" w:hAnsi="Cambria"/>
        </w:rPr>
      </w:pPr>
      <w:r w:rsidRPr="00C04662">
        <w:rPr>
          <w:rFonts w:ascii="Cambria" w:hAnsi="Cambria"/>
        </w:rPr>
        <w:t>Parmi ceux-ci, 23 ont réalisé un bilan de compétence auprès du SEFI afin d’évaluer les forces et les faiblesses professionnelles de chacun : 19 ont poursuivi en formation ciblée de remobilisation et de professionnalisation, et 4 candidats ayant retrouvé un emploi avant le démarrage n’ont pas intégré le dispositif.</w:t>
      </w:r>
    </w:p>
    <w:p w14:paraId="6416F2AD" w14:textId="77777777" w:rsidR="00C04662" w:rsidRPr="00C04662" w:rsidRDefault="00C04662" w:rsidP="00C04662">
      <w:pPr>
        <w:pStyle w:val="NormalWeb"/>
        <w:jc w:val="both"/>
        <w:rPr>
          <w:rFonts w:ascii="Cambria" w:hAnsi="Cambria"/>
        </w:rPr>
      </w:pPr>
      <w:r w:rsidRPr="00C04662">
        <w:rPr>
          <w:rFonts w:ascii="Cambria" w:hAnsi="Cambria"/>
        </w:rPr>
        <w:t>Dans le cadre de ce parcours d’accompagnement à l’insertion, les suivis sont effectués environ une fois par mois par la cellule insertion du CFPA, et ont révélé la pertinence et l’importance de ces périodes d’immersion qui permettent aux employeurs de découvrir des talents.</w:t>
      </w:r>
    </w:p>
    <w:p w14:paraId="5F68D028" w14:textId="77777777" w:rsidR="00C04662" w:rsidRPr="00C04662" w:rsidRDefault="00C04662" w:rsidP="00C04662">
      <w:pPr>
        <w:pStyle w:val="NormalWeb"/>
        <w:jc w:val="both"/>
        <w:rPr>
          <w:rFonts w:ascii="Cambria" w:hAnsi="Cambria"/>
        </w:rPr>
      </w:pPr>
      <w:r w:rsidRPr="00C04662">
        <w:rPr>
          <w:rFonts w:ascii="Cambria" w:hAnsi="Cambria"/>
        </w:rPr>
        <w:t>Les projets et secteurs d’activité qui se sont profilés sont le tourisme, les espaces verts, le commerce, la création d’entreprise, le magasinage, le secrétariat et la gestion. </w:t>
      </w:r>
    </w:p>
    <w:p w14:paraId="53066B4B" w14:textId="77777777" w:rsidR="00C04662" w:rsidRPr="00C04662" w:rsidRDefault="00C04662" w:rsidP="00C04662">
      <w:pPr>
        <w:pStyle w:val="NormalWeb"/>
        <w:jc w:val="both"/>
        <w:rPr>
          <w:rFonts w:ascii="Cambria" w:hAnsi="Cambria"/>
        </w:rPr>
      </w:pPr>
      <w:r w:rsidRPr="00C04662">
        <w:rPr>
          <w:rFonts w:ascii="Cambria" w:hAnsi="Cambria"/>
        </w:rPr>
        <w:t>Les stagiaires ont réussi à tirer profit des acquis de cette formation et sont donc globalement très satisfaits. Depuis le 20 avril dernier, sur l’ensemble des 19 stagiaires en suivi, 15 sont en activité :  7 sont en emploi, dont 1 en métropole, 3 sont en CAE, 1 en cours de création d’entreprise, 4 en activité (en auto-suffisance) avec de la pêche ou de l’agriculture, tout en poursuivant une recherche d’emploi. Quatre mois après la fin de leur formation, 79 % des stagiaires sont donc actifs : en emploi, en transition CAE, en formation, ou en activité auto-suffisance. Ce dispositif pilote pourrait être reconduit, en cas de besoin, dans les îles à forte densité touristique, telle que l’île de Bora Bora.</w:t>
      </w:r>
    </w:p>
    <w:p w14:paraId="384EF124" w14:textId="77777777" w:rsidR="00C04662" w:rsidRPr="00C04662" w:rsidRDefault="00C04662" w:rsidP="00C04662">
      <w:pPr>
        <w:pStyle w:val="NormalWeb"/>
        <w:jc w:val="both"/>
        <w:rPr>
          <w:rFonts w:ascii="Cambria" w:hAnsi="Cambria"/>
        </w:rPr>
      </w:pPr>
      <w:r w:rsidRPr="00C04662">
        <w:rPr>
          <w:rFonts w:ascii="Cambria" w:hAnsi="Cambria"/>
        </w:rPr>
        <w:t> </w:t>
      </w:r>
    </w:p>
    <w:p w14:paraId="4785C433" w14:textId="77777777" w:rsidR="00C04662" w:rsidRPr="00C04662" w:rsidRDefault="00C04662" w:rsidP="00C04662">
      <w:pPr>
        <w:pStyle w:val="NormalWeb"/>
        <w:jc w:val="both"/>
        <w:rPr>
          <w:rFonts w:ascii="Cambria" w:hAnsi="Cambria"/>
        </w:rPr>
      </w:pPr>
      <w:r w:rsidRPr="00C04662">
        <w:rPr>
          <w:rStyle w:val="lev"/>
          <w:rFonts w:ascii="Cambria" w:hAnsi="Cambria"/>
        </w:rPr>
        <w:t xml:space="preserve">Exposition Tahiti </w:t>
      </w:r>
      <w:proofErr w:type="spellStart"/>
      <w:r w:rsidRPr="00C04662">
        <w:rPr>
          <w:rStyle w:val="lev"/>
          <w:rFonts w:ascii="Cambria" w:hAnsi="Cambria"/>
        </w:rPr>
        <w:t>ti’a</w:t>
      </w:r>
      <w:proofErr w:type="spellEnd"/>
      <w:r w:rsidRPr="00C04662">
        <w:rPr>
          <w:rStyle w:val="lev"/>
          <w:rFonts w:ascii="Cambria" w:hAnsi="Cambria"/>
        </w:rPr>
        <w:t xml:space="preserve"> mai, du </w:t>
      </w:r>
      <w:proofErr w:type="spellStart"/>
      <w:r w:rsidRPr="00C04662">
        <w:rPr>
          <w:rStyle w:val="lev"/>
          <w:rFonts w:ascii="Cambria" w:hAnsi="Cambria"/>
        </w:rPr>
        <w:t>Tiurai</w:t>
      </w:r>
      <w:proofErr w:type="spellEnd"/>
      <w:r w:rsidRPr="00C04662">
        <w:rPr>
          <w:rStyle w:val="lev"/>
          <w:rFonts w:ascii="Cambria" w:hAnsi="Cambria"/>
        </w:rPr>
        <w:t xml:space="preserve"> au </w:t>
      </w:r>
      <w:proofErr w:type="spellStart"/>
      <w:r w:rsidRPr="00C04662">
        <w:rPr>
          <w:rStyle w:val="lev"/>
          <w:rFonts w:ascii="Cambria" w:hAnsi="Cambria"/>
        </w:rPr>
        <w:t>Heiva</w:t>
      </w:r>
      <w:proofErr w:type="spellEnd"/>
      <w:r w:rsidRPr="00C04662">
        <w:rPr>
          <w:rStyle w:val="lev"/>
          <w:rFonts w:ascii="Cambria" w:hAnsi="Cambria"/>
        </w:rPr>
        <w:t xml:space="preserve">, du 29 mai au 31 octobre 2021 au </w:t>
      </w:r>
      <w:proofErr w:type="gramStart"/>
      <w:r w:rsidRPr="00C04662">
        <w:rPr>
          <w:rStyle w:val="lev"/>
          <w:rFonts w:ascii="Cambria" w:hAnsi="Cambria"/>
        </w:rPr>
        <w:t>Musée</w:t>
      </w:r>
      <w:proofErr w:type="gramEnd"/>
      <w:r w:rsidRPr="00C04662">
        <w:rPr>
          <w:rStyle w:val="lev"/>
          <w:rFonts w:ascii="Cambria" w:hAnsi="Cambria"/>
        </w:rPr>
        <w:t xml:space="preserve"> de Tahiti et des Îles – Te Fare </w:t>
      </w:r>
      <w:proofErr w:type="spellStart"/>
      <w:r w:rsidRPr="00C04662">
        <w:rPr>
          <w:rStyle w:val="lev"/>
          <w:rFonts w:ascii="Cambria" w:hAnsi="Cambria"/>
        </w:rPr>
        <w:t>Manaha</w:t>
      </w:r>
      <w:proofErr w:type="spellEnd"/>
    </w:p>
    <w:p w14:paraId="71C4B55C" w14:textId="77777777" w:rsidR="00C04662" w:rsidRPr="00C04662" w:rsidRDefault="00C04662" w:rsidP="00C04662">
      <w:pPr>
        <w:pStyle w:val="NormalWeb"/>
        <w:jc w:val="both"/>
        <w:rPr>
          <w:rFonts w:ascii="Cambria" w:hAnsi="Cambria"/>
        </w:rPr>
      </w:pPr>
      <w:r w:rsidRPr="00C04662">
        <w:rPr>
          <w:rFonts w:ascii="Cambria" w:hAnsi="Cambria"/>
        </w:rPr>
        <w:t xml:space="preserve">Du 29 mai au 31 octobre 2021, le </w:t>
      </w:r>
      <w:proofErr w:type="gramStart"/>
      <w:r w:rsidRPr="00C04662">
        <w:rPr>
          <w:rFonts w:ascii="Cambria" w:hAnsi="Cambria"/>
        </w:rPr>
        <w:t>Musée</w:t>
      </w:r>
      <w:proofErr w:type="gramEnd"/>
      <w:r w:rsidRPr="00C04662">
        <w:rPr>
          <w:rFonts w:ascii="Cambria" w:hAnsi="Cambria"/>
        </w:rPr>
        <w:t xml:space="preserve"> de Tahiti et des Îles – </w:t>
      </w:r>
      <w:r w:rsidRPr="00C04662">
        <w:rPr>
          <w:rStyle w:val="Accentuation"/>
          <w:rFonts w:ascii="Cambria" w:hAnsi="Cambria"/>
        </w:rPr>
        <w:t xml:space="preserve">Te Fare </w:t>
      </w:r>
      <w:proofErr w:type="spellStart"/>
      <w:r w:rsidRPr="00C04662">
        <w:rPr>
          <w:rStyle w:val="Accentuation"/>
          <w:rFonts w:ascii="Cambria" w:hAnsi="Cambria"/>
        </w:rPr>
        <w:t>Manaha</w:t>
      </w:r>
      <w:proofErr w:type="spellEnd"/>
      <w:r w:rsidRPr="00C04662">
        <w:rPr>
          <w:rFonts w:ascii="Cambria" w:hAnsi="Cambria"/>
        </w:rPr>
        <w:t xml:space="preserve"> proposera une exposition hommage au 140</w:t>
      </w:r>
      <w:r w:rsidRPr="00C04662">
        <w:rPr>
          <w:rFonts w:ascii="Cambria" w:hAnsi="Cambria"/>
          <w:vertAlign w:val="superscript"/>
        </w:rPr>
        <w:t>ème</w:t>
      </w:r>
      <w:r w:rsidRPr="00C04662">
        <w:rPr>
          <w:rFonts w:ascii="Cambria" w:hAnsi="Cambria"/>
        </w:rPr>
        <w:t xml:space="preserve"> anniversaire du </w:t>
      </w:r>
      <w:proofErr w:type="spellStart"/>
      <w:r w:rsidRPr="00C04662">
        <w:rPr>
          <w:rFonts w:ascii="Cambria" w:hAnsi="Cambria"/>
        </w:rPr>
        <w:t>Heiva</w:t>
      </w:r>
      <w:proofErr w:type="spellEnd"/>
      <w:r w:rsidRPr="00C04662">
        <w:rPr>
          <w:rFonts w:ascii="Cambria" w:hAnsi="Cambria"/>
        </w:rPr>
        <w:t xml:space="preserve"> I Tahiti. Du </w:t>
      </w:r>
      <w:proofErr w:type="spellStart"/>
      <w:r w:rsidRPr="00C04662">
        <w:rPr>
          <w:rStyle w:val="Accentuation"/>
          <w:rFonts w:ascii="Cambria" w:hAnsi="Cambria"/>
        </w:rPr>
        <w:t>tiurai</w:t>
      </w:r>
      <w:proofErr w:type="spellEnd"/>
      <w:r w:rsidRPr="00C04662">
        <w:rPr>
          <w:rFonts w:ascii="Cambria" w:hAnsi="Cambria"/>
        </w:rPr>
        <w:t xml:space="preserve"> au </w:t>
      </w:r>
      <w:proofErr w:type="spellStart"/>
      <w:r w:rsidRPr="00C04662">
        <w:rPr>
          <w:rStyle w:val="Accentuation"/>
          <w:rFonts w:ascii="Cambria" w:hAnsi="Cambria"/>
        </w:rPr>
        <w:t>heiva</w:t>
      </w:r>
      <w:proofErr w:type="spellEnd"/>
      <w:r w:rsidRPr="00C04662">
        <w:rPr>
          <w:rFonts w:ascii="Cambria" w:hAnsi="Cambria"/>
        </w:rPr>
        <w:t xml:space="preserve">, cette exposition évoquera les festivités au travers de la danse, du chant et de la musique, des sports et de l’artisanat. Par le biais de ses collections de costumes, de son fonds ethnographique mais également de ses fonds photos et beaux-arts, le </w:t>
      </w:r>
      <w:proofErr w:type="gramStart"/>
      <w:r w:rsidRPr="00C04662">
        <w:rPr>
          <w:rFonts w:ascii="Cambria" w:hAnsi="Cambria"/>
        </w:rPr>
        <w:t>Musée</w:t>
      </w:r>
      <w:proofErr w:type="gramEnd"/>
      <w:r w:rsidRPr="00C04662">
        <w:rPr>
          <w:rFonts w:ascii="Cambria" w:hAnsi="Cambria"/>
        </w:rPr>
        <w:t xml:space="preserve"> de Tahiti et des Îles – </w:t>
      </w:r>
      <w:r w:rsidRPr="00C04662">
        <w:rPr>
          <w:rStyle w:val="Accentuation"/>
          <w:rFonts w:ascii="Cambria" w:hAnsi="Cambria"/>
        </w:rPr>
        <w:t xml:space="preserve">Te Fare </w:t>
      </w:r>
      <w:proofErr w:type="spellStart"/>
      <w:r w:rsidRPr="00C04662">
        <w:rPr>
          <w:rStyle w:val="Accentuation"/>
          <w:rFonts w:ascii="Cambria" w:hAnsi="Cambria"/>
        </w:rPr>
        <w:t>Manaha</w:t>
      </w:r>
      <w:proofErr w:type="spellEnd"/>
      <w:r w:rsidRPr="00C04662">
        <w:rPr>
          <w:rFonts w:ascii="Cambria" w:hAnsi="Cambria"/>
        </w:rPr>
        <w:t xml:space="preserve"> souhaite ainsi rendre hommage aux acteurs qui depuis 140 ans célèbrent lors du </w:t>
      </w:r>
      <w:proofErr w:type="spellStart"/>
      <w:r w:rsidRPr="00C04662">
        <w:rPr>
          <w:rStyle w:val="Accentuation"/>
          <w:rFonts w:ascii="Cambria" w:hAnsi="Cambria"/>
        </w:rPr>
        <w:t>tiurai</w:t>
      </w:r>
      <w:proofErr w:type="spellEnd"/>
      <w:r w:rsidRPr="00C04662">
        <w:rPr>
          <w:rStyle w:val="Accentuation"/>
          <w:rFonts w:ascii="Cambria" w:hAnsi="Cambria"/>
        </w:rPr>
        <w:t xml:space="preserve"> </w:t>
      </w:r>
      <w:r w:rsidRPr="00C04662">
        <w:rPr>
          <w:rFonts w:ascii="Cambria" w:hAnsi="Cambria"/>
        </w:rPr>
        <w:t>la richesse culturelle polynésienne.</w:t>
      </w:r>
    </w:p>
    <w:p w14:paraId="226E8CA6" w14:textId="77777777" w:rsidR="00C04662" w:rsidRPr="00C04662" w:rsidRDefault="00C04662" w:rsidP="00C04662">
      <w:pPr>
        <w:pStyle w:val="NormalWeb"/>
        <w:jc w:val="both"/>
        <w:rPr>
          <w:rFonts w:ascii="Cambria" w:hAnsi="Cambria"/>
        </w:rPr>
      </w:pPr>
      <w:r w:rsidRPr="00C04662">
        <w:rPr>
          <w:rFonts w:ascii="Cambria" w:hAnsi="Cambria"/>
        </w:rPr>
        <w:t xml:space="preserve">Le </w:t>
      </w:r>
      <w:proofErr w:type="gramStart"/>
      <w:r w:rsidRPr="00C04662">
        <w:rPr>
          <w:rFonts w:ascii="Cambria" w:hAnsi="Cambria"/>
        </w:rPr>
        <w:t>« Juillet »</w:t>
      </w:r>
      <w:proofErr w:type="gramEnd"/>
      <w:r w:rsidRPr="00C04662">
        <w:rPr>
          <w:rFonts w:ascii="Cambria" w:hAnsi="Cambria"/>
        </w:rPr>
        <w:t xml:space="preserve">, </w:t>
      </w:r>
      <w:proofErr w:type="spellStart"/>
      <w:r w:rsidRPr="00C04662">
        <w:rPr>
          <w:rStyle w:val="Accentuation"/>
          <w:rFonts w:ascii="Cambria" w:hAnsi="Cambria"/>
        </w:rPr>
        <w:t>Tiurai</w:t>
      </w:r>
      <w:proofErr w:type="spellEnd"/>
      <w:r w:rsidRPr="00C04662">
        <w:rPr>
          <w:rFonts w:ascii="Cambria" w:hAnsi="Cambria"/>
        </w:rPr>
        <w:t xml:space="preserve">, est tellement ancré dans le cycle de vie de Tahiti qu’il nous donne l’impression d’être immuable. Pourtant, au cours de ses années d’existence, de nouvelles activités y sont apparues, tandis que d’autres ont disparu. Par le passé, les célébrations du </w:t>
      </w:r>
      <w:proofErr w:type="spellStart"/>
      <w:r w:rsidRPr="00C04662">
        <w:rPr>
          <w:rStyle w:val="Accentuation"/>
          <w:rFonts w:ascii="Cambria" w:hAnsi="Cambria"/>
        </w:rPr>
        <w:t>Tiurai</w:t>
      </w:r>
      <w:proofErr w:type="spellEnd"/>
      <w:r w:rsidRPr="00C04662">
        <w:rPr>
          <w:rFonts w:ascii="Cambria" w:hAnsi="Cambria"/>
        </w:rPr>
        <w:t xml:space="preserve"> avaient déjà subi des perturbations. Lors de rares occasions, liées aux conflits </w:t>
      </w:r>
      <w:r w:rsidRPr="00C04662">
        <w:rPr>
          <w:rFonts w:ascii="Cambria" w:hAnsi="Cambria"/>
        </w:rPr>
        <w:lastRenderedPageBreak/>
        <w:t>mondiaux ou à des catastrophes naturelles, elles n’ont pu avoir lieu. Cette exposition vise à faire revivre les différentes mutations de la manifestation.</w:t>
      </w:r>
    </w:p>
    <w:p w14:paraId="06168A75" w14:textId="77777777" w:rsidR="00C04662" w:rsidRPr="00C04662" w:rsidRDefault="00C04662" w:rsidP="00C04662">
      <w:pPr>
        <w:pStyle w:val="NormalWeb"/>
        <w:jc w:val="both"/>
        <w:rPr>
          <w:rFonts w:ascii="Cambria" w:hAnsi="Cambria"/>
        </w:rPr>
      </w:pPr>
      <w:r w:rsidRPr="00C04662">
        <w:rPr>
          <w:rFonts w:ascii="Cambria" w:hAnsi="Cambria"/>
        </w:rPr>
        <w:t xml:space="preserve">Cette rétrospective est également l’occasion pour le Musée de Tahiti et des Îles – </w:t>
      </w:r>
      <w:r w:rsidRPr="00C04662">
        <w:rPr>
          <w:rStyle w:val="Accentuation"/>
          <w:rFonts w:ascii="Cambria" w:hAnsi="Cambria"/>
        </w:rPr>
        <w:t xml:space="preserve">Te Fare </w:t>
      </w:r>
      <w:proofErr w:type="spellStart"/>
      <w:r w:rsidRPr="00C04662">
        <w:rPr>
          <w:rStyle w:val="Accentuation"/>
          <w:rFonts w:ascii="Cambria" w:hAnsi="Cambria"/>
        </w:rPr>
        <w:t>Manaha</w:t>
      </w:r>
      <w:proofErr w:type="spellEnd"/>
      <w:r w:rsidRPr="00C04662">
        <w:rPr>
          <w:rFonts w:ascii="Cambria" w:hAnsi="Cambria"/>
        </w:rPr>
        <w:t xml:space="preserve"> d’exposer des collections diversifiées : des costumes du </w:t>
      </w:r>
      <w:proofErr w:type="spellStart"/>
      <w:r w:rsidRPr="00C04662">
        <w:rPr>
          <w:rFonts w:ascii="Cambria" w:hAnsi="Cambria"/>
        </w:rPr>
        <w:t>Heiva</w:t>
      </w:r>
      <w:proofErr w:type="spellEnd"/>
      <w:r w:rsidRPr="00C04662">
        <w:rPr>
          <w:rFonts w:ascii="Cambria" w:hAnsi="Cambria"/>
        </w:rPr>
        <w:t xml:space="preserve"> I Tahiti des années 50 à nos jours, mais également des affiches des années 60, des reproductions photographiques de 1880 à 1960, une partie de la collection de chapeaux, un des derniers </w:t>
      </w:r>
      <w:proofErr w:type="spellStart"/>
      <w:r w:rsidRPr="00C04662">
        <w:rPr>
          <w:rStyle w:val="Accentuation"/>
          <w:rFonts w:ascii="Cambria" w:hAnsi="Cambria"/>
        </w:rPr>
        <w:t>va’a</w:t>
      </w:r>
      <w:proofErr w:type="spellEnd"/>
      <w:r w:rsidRPr="00C04662">
        <w:rPr>
          <w:rFonts w:ascii="Cambria" w:hAnsi="Cambria"/>
        </w:rPr>
        <w:t xml:space="preserve"> de courses en bois de 1980 et une sélection de tableaux d’artistes de renom tels que Adriaan Herman </w:t>
      </w:r>
      <w:proofErr w:type="spellStart"/>
      <w:r w:rsidRPr="00C04662">
        <w:rPr>
          <w:rFonts w:ascii="Cambria" w:hAnsi="Cambria"/>
        </w:rPr>
        <w:t>Gouwe</w:t>
      </w:r>
      <w:proofErr w:type="spellEnd"/>
      <w:r w:rsidRPr="00C04662">
        <w:rPr>
          <w:rFonts w:ascii="Cambria" w:hAnsi="Cambria"/>
        </w:rPr>
        <w:t xml:space="preserve">, Alfred Le Moine mais également Bobby </w:t>
      </w:r>
      <w:proofErr w:type="spellStart"/>
      <w:r w:rsidRPr="00C04662">
        <w:rPr>
          <w:rFonts w:ascii="Cambria" w:hAnsi="Cambria"/>
        </w:rPr>
        <w:t>Holcomb</w:t>
      </w:r>
      <w:proofErr w:type="spellEnd"/>
      <w:r w:rsidRPr="00C04662">
        <w:rPr>
          <w:rFonts w:ascii="Cambria" w:hAnsi="Cambria"/>
        </w:rPr>
        <w:t xml:space="preserve">, François Ravello et André </w:t>
      </w:r>
      <w:proofErr w:type="spellStart"/>
      <w:r w:rsidRPr="00C04662">
        <w:rPr>
          <w:rFonts w:ascii="Cambria" w:hAnsi="Cambria"/>
        </w:rPr>
        <w:t>Marere</w:t>
      </w:r>
      <w:proofErr w:type="spellEnd"/>
      <w:r w:rsidRPr="00C04662">
        <w:rPr>
          <w:rFonts w:ascii="Cambria" w:hAnsi="Cambria"/>
        </w:rPr>
        <w:t>. Au total, ce sont une centaine de documents et d’objets qui seront ainsi présentés au public. </w:t>
      </w:r>
    </w:p>
    <w:p w14:paraId="29CA6F4A" w14:textId="77777777" w:rsidR="00C04662" w:rsidRPr="00C04662" w:rsidRDefault="00C04662" w:rsidP="00C04662">
      <w:pPr>
        <w:pStyle w:val="NormalWeb"/>
        <w:jc w:val="both"/>
        <w:rPr>
          <w:rFonts w:ascii="Cambria" w:hAnsi="Cambria"/>
        </w:rPr>
      </w:pPr>
      <w:r w:rsidRPr="00C04662">
        <w:rPr>
          <w:rFonts w:ascii="Cambria" w:hAnsi="Cambria"/>
        </w:rPr>
        <w:t xml:space="preserve">Pour compléter l’exposition, une série d’ateliers sera programmée entre le 12 juin 2021 et le 21 août 2021, ainsi que des visites guidées proposées par l’équipe scientifique de l’établissement. A noter que l’exposition sera présentée en tahitien et en français, afin de valoriser le </w:t>
      </w:r>
      <w:proofErr w:type="spellStart"/>
      <w:r w:rsidRPr="00C04662">
        <w:rPr>
          <w:rStyle w:val="Accentuation"/>
          <w:rFonts w:ascii="Cambria" w:hAnsi="Cambria"/>
        </w:rPr>
        <w:t>reo</w:t>
      </w:r>
      <w:proofErr w:type="spellEnd"/>
      <w:r w:rsidRPr="00C04662">
        <w:rPr>
          <w:rStyle w:val="Accentuation"/>
          <w:rFonts w:ascii="Cambria" w:hAnsi="Cambria"/>
        </w:rPr>
        <w:t xml:space="preserve"> </w:t>
      </w:r>
      <w:proofErr w:type="spellStart"/>
      <w:r w:rsidRPr="00C04662">
        <w:rPr>
          <w:rStyle w:val="Accentuation"/>
          <w:rFonts w:ascii="Cambria" w:hAnsi="Cambria"/>
        </w:rPr>
        <w:t>tahiti</w:t>
      </w:r>
      <w:proofErr w:type="spellEnd"/>
      <w:r w:rsidRPr="00C04662">
        <w:rPr>
          <w:rFonts w:ascii="Cambria" w:hAnsi="Cambria"/>
        </w:rPr>
        <w:t>. Un audio-guide en anglais sera proposé pour le public anglophone.</w:t>
      </w:r>
    </w:p>
    <w:p w14:paraId="561C39FB" w14:textId="77777777" w:rsidR="00C04662" w:rsidRPr="00C04662" w:rsidRDefault="00C04662" w:rsidP="00C04662">
      <w:pPr>
        <w:pStyle w:val="NormalWeb"/>
        <w:jc w:val="both"/>
        <w:rPr>
          <w:rFonts w:ascii="Cambria" w:hAnsi="Cambria"/>
        </w:rPr>
      </w:pPr>
      <w:r w:rsidRPr="00C04662">
        <w:rPr>
          <w:rStyle w:val="lev"/>
          <w:rFonts w:ascii="Cambria" w:hAnsi="Cambria"/>
        </w:rPr>
        <w:t> </w:t>
      </w:r>
    </w:p>
    <w:p w14:paraId="13E932B2" w14:textId="77777777" w:rsidR="00C04662" w:rsidRPr="00C04662" w:rsidRDefault="00C04662" w:rsidP="00C04662">
      <w:pPr>
        <w:pStyle w:val="NormalWeb"/>
        <w:jc w:val="both"/>
        <w:rPr>
          <w:rFonts w:ascii="Cambria" w:hAnsi="Cambria"/>
        </w:rPr>
      </w:pPr>
      <w:r w:rsidRPr="00C04662">
        <w:rPr>
          <w:rStyle w:val="lev"/>
          <w:rFonts w:ascii="Cambria" w:hAnsi="Cambria"/>
        </w:rPr>
        <w:t xml:space="preserve">Subvention à l’association « Entre deux mondes » </w:t>
      </w:r>
    </w:p>
    <w:p w14:paraId="744A8857" w14:textId="77777777" w:rsidR="00C04662" w:rsidRPr="00C04662" w:rsidRDefault="00C04662" w:rsidP="00C04662">
      <w:pPr>
        <w:pStyle w:val="NormalWeb"/>
        <w:jc w:val="both"/>
        <w:rPr>
          <w:rFonts w:ascii="Cambria" w:hAnsi="Cambria"/>
        </w:rPr>
      </w:pPr>
      <w:r w:rsidRPr="00C04662">
        <w:rPr>
          <w:rFonts w:ascii="Cambria" w:hAnsi="Cambria"/>
        </w:rPr>
        <w:t xml:space="preserve">Sur proposition du ministre de la Santé, le Conseil des ministres a attribué une subvention de 800 000 </w:t>
      </w:r>
      <w:proofErr w:type="spellStart"/>
      <w:r w:rsidRPr="00C04662">
        <w:rPr>
          <w:rFonts w:ascii="Cambria" w:hAnsi="Cambria"/>
        </w:rPr>
        <w:t>Fcfp</w:t>
      </w:r>
      <w:proofErr w:type="spellEnd"/>
      <w:r w:rsidRPr="00C04662">
        <w:rPr>
          <w:rFonts w:ascii="Cambria" w:hAnsi="Cambria"/>
        </w:rPr>
        <w:t xml:space="preserve"> à l’association « Entre deux mondes » pour financer l’activité générale de l’association.</w:t>
      </w:r>
    </w:p>
    <w:p w14:paraId="6A5D5BDA" w14:textId="77777777" w:rsidR="00C04662" w:rsidRPr="00C04662" w:rsidRDefault="00C04662" w:rsidP="00C04662">
      <w:pPr>
        <w:pStyle w:val="NormalWeb"/>
        <w:jc w:val="both"/>
        <w:rPr>
          <w:rFonts w:ascii="Cambria" w:hAnsi="Cambria"/>
        </w:rPr>
      </w:pPr>
      <w:r w:rsidRPr="00C04662">
        <w:rPr>
          <w:rFonts w:ascii="Cambria" w:hAnsi="Cambria"/>
        </w:rPr>
        <w:t xml:space="preserve">L’association « Entre deux mondes » regroupe essentiellement des parents d’enfants ayant des troubles </w:t>
      </w:r>
      <w:proofErr w:type="spellStart"/>
      <w:r w:rsidRPr="00C04662">
        <w:rPr>
          <w:rFonts w:ascii="Cambria" w:hAnsi="Cambria"/>
        </w:rPr>
        <w:t>neuro-développementaux</w:t>
      </w:r>
      <w:proofErr w:type="spellEnd"/>
      <w:r w:rsidRPr="00C04662">
        <w:rPr>
          <w:rFonts w:ascii="Cambria" w:hAnsi="Cambria"/>
        </w:rPr>
        <w:t xml:space="preserve"> entrainant des difficultés d’inclusion sociale et scolaire.</w:t>
      </w:r>
    </w:p>
    <w:p w14:paraId="1A99A9EA" w14:textId="77777777" w:rsidR="00C04662" w:rsidRPr="00C04662" w:rsidRDefault="00C04662" w:rsidP="00C04662">
      <w:pPr>
        <w:pStyle w:val="NormalWeb"/>
        <w:jc w:val="both"/>
        <w:rPr>
          <w:rFonts w:ascii="Cambria" w:hAnsi="Cambria"/>
        </w:rPr>
      </w:pPr>
      <w:r w:rsidRPr="00C04662">
        <w:rPr>
          <w:rFonts w:ascii="Cambria" w:hAnsi="Cambria"/>
        </w:rPr>
        <w:t>Depuis sa création, l’association constate un nombre croissant d’enfants et d’adolescents atteints de troubles du spectre autistique, handicap invisible et peu connu en Polynésie mais également des pathologies diverses (trouble de l’attention, trouble du déficit de l’attention avec ou sans hyperactivité, syndrome de Turner, etc.) dont la prise en charge médicale mais également sociale et éducative sont complexes.</w:t>
      </w:r>
    </w:p>
    <w:p w14:paraId="1418492E" w14:textId="77777777" w:rsidR="00C04662" w:rsidRPr="00C04662" w:rsidRDefault="00C04662" w:rsidP="00C04662">
      <w:pPr>
        <w:pStyle w:val="NormalWeb"/>
        <w:jc w:val="both"/>
        <w:rPr>
          <w:rFonts w:ascii="Cambria" w:hAnsi="Cambria"/>
        </w:rPr>
      </w:pPr>
      <w:r w:rsidRPr="00C04662">
        <w:rPr>
          <w:rFonts w:ascii="Cambria" w:hAnsi="Cambria"/>
        </w:rPr>
        <w:t xml:space="preserve">Chaque année, l’association organise une journée de sensibilisation ouverte au public au parc </w:t>
      </w:r>
      <w:proofErr w:type="spellStart"/>
      <w:r w:rsidRPr="00C04662">
        <w:rPr>
          <w:rFonts w:ascii="Cambria" w:hAnsi="Cambria"/>
        </w:rPr>
        <w:t>Paofai</w:t>
      </w:r>
      <w:proofErr w:type="spellEnd"/>
      <w:r w:rsidRPr="00C04662">
        <w:rPr>
          <w:rFonts w:ascii="Cambria" w:hAnsi="Cambria"/>
        </w:rPr>
        <w:t xml:space="preserve"> afin d’informer sur les troubles de </w:t>
      </w:r>
      <w:proofErr w:type="spellStart"/>
      <w:r w:rsidRPr="00C04662">
        <w:rPr>
          <w:rFonts w:ascii="Cambria" w:hAnsi="Cambria"/>
        </w:rPr>
        <w:t>neuro-développement</w:t>
      </w:r>
      <w:proofErr w:type="spellEnd"/>
      <w:r w:rsidRPr="00C04662">
        <w:rPr>
          <w:rFonts w:ascii="Cambria" w:hAnsi="Cambria"/>
        </w:rPr>
        <w:t xml:space="preserve"> de l’enfant et notamment de l’autisme et ainsi rencontrer et fédérer de nouvelles familles d’enfants et d’adolescents concernés et d’échanger avec des professionnels intéressés.</w:t>
      </w:r>
    </w:p>
    <w:p w14:paraId="02BC3505" w14:textId="77777777" w:rsidR="00C04662" w:rsidRPr="00C04662" w:rsidRDefault="00C04662" w:rsidP="00C04662">
      <w:pPr>
        <w:pStyle w:val="NormalWeb"/>
        <w:jc w:val="both"/>
        <w:rPr>
          <w:rFonts w:ascii="Cambria" w:hAnsi="Cambria"/>
        </w:rPr>
      </w:pPr>
      <w:r w:rsidRPr="00C04662">
        <w:rPr>
          <w:rFonts w:ascii="Cambria" w:hAnsi="Cambria"/>
        </w:rPr>
        <w:t> </w:t>
      </w:r>
    </w:p>
    <w:p w14:paraId="094AA2FD" w14:textId="77777777" w:rsidR="00C04662" w:rsidRPr="00C04662" w:rsidRDefault="00C04662" w:rsidP="00C04662">
      <w:pPr>
        <w:pStyle w:val="NormalWeb"/>
        <w:jc w:val="both"/>
        <w:rPr>
          <w:rFonts w:ascii="Cambria" w:hAnsi="Cambria"/>
        </w:rPr>
      </w:pPr>
      <w:r w:rsidRPr="00C04662">
        <w:rPr>
          <w:rStyle w:val="lev"/>
          <w:rFonts w:ascii="Cambria" w:hAnsi="Cambria"/>
        </w:rPr>
        <w:t>Subventions de fonctionnement en faveur d’établissements publics d’enseignement de la Polynésie française</w:t>
      </w:r>
    </w:p>
    <w:p w14:paraId="0F5B70CC" w14:textId="1043E31D" w:rsidR="00C04662" w:rsidRDefault="00C04662" w:rsidP="00C04662">
      <w:pPr>
        <w:pStyle w:val="NormalWeb"/>
        <w:jc w:val="both"/>
        <w:rPr>
          <w:rFonts w:ascii="Cambria" w:hAnsi="Cambria"/>
        </w:rPr>
      </w:pPr>
      <w:r w:rsidRPr="00C04662">
        <w:rPr>
          <w:rFonts w:ascii="Cambria" w:hAnsi="Cambria"/>
        </w:rPr>
        <w:t>Sur proposition de la ministre de l’Education, le Conseil des ministres a octroyé des subventions de fonctionnement en faveur d’établissements publics d’enseignement de la Polynésie française (EPEPF), selon les modalités suivantes :</w:t>
      </w:r>
    </w:p>
    <w:p w14:paraId="176C95AC" w14:textId="77777777" w:rsidR="00C04662" w:rsidRPr="00C04662" w:rsidRDefault="00C04662" w:rsidP="00C04662">
      <w:pPr>
        <w:pStyle w:val="NormalWeb"/>
        <w:jc w:val="both"/>
        <w:rPr>
          <w:rFonts w:ascii="Cambria" w:hAnsi="Cambria"/>
        </w:rPr>
      </w:pPr>
    </w:p>
    <w:tbl>
      <w:tblPr>
        <w:tblW w:w="9495"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265"/>
        <w:gridCol w:w="5754"/>
        <w:gridCol w:w="1476"/>
      </w:tblGrid>
      <w:tr w:rsidR="008E2A4C" w:rsidRPr="008E2A4C" w14:paraId="324A119E" w14:textId="77777777" w:rsidTr="008E2A4C">
        <w:trPr>
          <w:tblCellSpacing w:w="15" w:type="dxa"/>
        </w:trPr>
        <w:tc>
          <w:tcPr>
            <w:tcW w:w="2220" w:type="dxa"/>
            <w:vAlign w:val="center"/>
            <w:hideMark/>
          </w:tcPr>
          <w:p w14:paraId="6611A4EC" w14:textId="77777777" w:rsidR="00C04662" w:rsidRDefault="00C04662" w:rsidP="008E2A4C">
            <w:pPr>
              <w:pStyle w:val="NormalWeb"/>
              <w:jc w:val="center"/>
              <w:rPr>
                <w:rStyle w:val="lev"/>
                <w:rFonts w:ascii="Cambria" w:hAnsi="Cambria"/>
              </w:rPr>
            </w:pPr>
          </w:p>
          <w:p w14:paraId="028557D2" w14:textId="40826962" w:rsidR="008E2A4C" w:rsidRPr="008E2A4C" w:rsidRDefault="008E2A4C" w:rsidP="008E2A4C">
            <w:pPr>
              <w:pStyle w:val="NormalWeb"/>
              <w:jc w:val="center"/>
              <w:rPr>
                <w:rFonts w:ascii="Cambria" w:hAnsi="Cambria"/>
              </w:rPr>
            </w:pPr>
            <w:r w:rsidRPr="008E2A4C">
              <w:rPr>
                <w:rStyle w:val="lev"/>
                <w:rFonts w:ascii="Cambria" w:hAnsi="Cambria"/>
              </w:rPr>
              <w:t>Bénéficiaire</w:t>
            </w:r>
          </w:p>
        </w:tc>
        <w:tc>
          <w:tcPr>
            <w:tcW w:w="5724" w:type="dxa"/>
            <w:vAlign w:val="center"/>
            <w:hideMark/>
          </w:tcPr>
          <w:p w14:paraId="5086D334" w14:textId="77777777" w:rsidR="008E2A4C" w:rsidRPr="008E2A4C" w:rsidRDefault="008E2A4C" w:rsidP="008E2A4C">
            <w:pPr>
              <w:pStyle w:val="NormalWeb"/>
              <w:jc w:val="center"/>
              <w:rPr>
                <w:rFonts w:ascii="Cambria" w:hAnsi="Cambria"/>
              </w:rPr>
            </w:pPr>
            <w:r w:rsidRPr="008E2A4C">
              <w:rPr>
                <w:rStyle w:val="lev"/>
                <w:rFonts w:ascii="Cambria" w:hAnsi="Cambria"/>
              </w:rPr>
              <w:t>Objet de la subvention</w:t>
            </w:r>
          </w:p>
        </w:tc>
        <w:tc>
          <w:tcPr>
            <w:tcW w:w="1431" w:type="dxa"/>
            <w:vAlign w:val="center"/>
            <w:hideMark/>
          </w:tcPr>
          <w:p w14:paraId="5F614968" w14:textId="6DCEE357" w:rsidR="008E2A4C" w:rsidRPr="008E2A4C" w:rsidRDefault="008E2A4C" w:rsidP="008E2A4C">
            <w:pPr>
              <w:pStyle w:val="NormalWeb"/>
              <w:jc w:val="center"/>
              <w:rPr>
                <w:rFonts w:ascii="Cambria" w:hAnsi="Cambria"/>
              </w:rPr>
            </w:pPr>
            <w:r w:rsidRPr="008E2A4C">
              <w:rPr>
                <w:rStyle w:val="lev"/>
                <w:rFonts w:ascii="Cambria" w:hAnsi="Cambria"/>
              </w:rPr>
              <w:t xml:space="preserve">Montant en </w:t>
            </w:r>
            <w:proofErr w:type="spellStart"/>
            <w:r w:rsidRPr="008E2A4C">
              <w:rPr>
                <w:rStyle w:val="lev"/>
                <w:rFonts w:ascii="Cambria" w:hAnsi="Cambria"/>
              </w:rPr>
              <w:t>Fcfp</w:t>
            </w:r>
            <w:proofErr w:type="spellEnd"/>
          </w:p>
        </w:tc>
      </w:tr>
      <w:tr w:rsidR="008E2A4C" w:rsidRPr="008E2A4C" w14:paraId="40A6914F" w14:textId="77777777" w:rsidTr="008E2A4C">
        <w:trPr>
          <w:tblCellSpacing w:w="15" w:type="dxa"/>
        </w:trPr>
        <w:tc>
          <w:tcPr>
            <w:tcW w:w="2220" w:type="dxa"/>
            <w:vMerge w:val="restart"/>
            <w:vAlign w:val="center"/>
            <w:hideMark/>
          </w:tcPr>
          <w:p w14:paraId="5E92B762" w14:textId="77777777" w:rsidR="008E2A4C" w:rsidRPr="008E2A4C" w:rsidRDefault="008E2A4C" w:rsidP="008E2A4C">
            <w:pPr>
              <w:pStyle w:val="NormalWeb"/>
              <w:jc w:val="center"/>
              <w:rPr>
                <w:rFonts w:ascii="Cambria" w:hAnsi="Cambria"/>
              </w:rPr>
            </w:pPr>
            <w:r w:rsidRPr="008E2A4C">
              <w:rPr>
                <w:rFonts w:ascii="Cambria" w:hAnsi="Cambria"/>
              </w:rPr>
              <w:t>Collège d'</w:t>
            </w:r>
            <w:proofErr w:type="spellStart"/>
            <w:r w:rsidRPr="008E2A4C">
              <w:rPr>
                <w:rFonts w:ascii="Cambria" w:hAnsi="Cambria"/>
              </w:rPr>
              <w:t>Arue</w:t>
            </w:r>
            <w:proofErr w:type="spellEnd"/>
          </w:p>
        </w:tc>
        <w:tc>
          <w:tcPr>
            <w:tcW w:w="5724" w:type="dxa"/>
            <w:vAlign w:val="center"/>
            <w:hideMark/>
          </w:tcPr>
          <w:p w14:paraId="3D921467" w14:textId="77777777" w:rsidR="008E2A4C" w:rsidRPr="008E2A4C" w:rsidRDefault="008E2A4C" w:rsidP="008E2A4C">
            <w:pPr>
              <w:pStyle w:val="NormalWeb"/>
              <w:jc w:val="both"/>
              <w:rPr>
                <w:rFonts w:ascii="Cambria" w:hAnsi="Cambria"/>
              </w:rPr>
            </w:pPr>
            <w:proofErr w:type="gramStart"/>
            <w:r w:rsidRPr="008E2A4C">
              <w:rPr>
                <w:rFonts w:ascii="Cambria" w:hAnsi="Cambria"/>
              </w:rPr>
              <w:t>la</w:t>
            </w:r>
            <w:proofErr w:type="gramEnd"/>
            <w:r w:rsidRPr="008E2A4C">
              <w:rPr>
                <w:rFonts w:ascii="Cambria" w:hAnsi="Cambria"/>
              </w:rPr>
              <w:t xml:space="preserve"> réparation de la pompe de relevage de la station d'épuration du collège</w:t>
            </w:r>
          </w:p>
        </w:tc>
        <w:tc>
          <w:tcPr>
            <w:tcW w:w="1431" w:type="dxa"/>
            <w:vAlign w:val="center"/>
            <w:hideMark/>
          </w:tcPr>
          <w:p w14:paraId="2825792E" w14:textId="77777777" w:rsidR="008E2A4C" w:rsidRPr="008E2A4C" w:rsidRDefault="008E2A4C" w:rsidP="008E2A4C">
            <w:pPr>
              <w:pStyle w:val="NormalWeb"/>
              <w:jc w:val="right"/>
              <w:rPr>
                <w:rFonts w:ascii="Cambria" w:hAnsi="Cambria"/>
              </w:rPr>
            </w:pPr>
            <w:r w:rsidRPr="008E2A4C">
              <w:rPr>
                <w:rFonts w:ascii="Cambria" w:hAnsi="Cambria"/>
              </w:rPr>
              <w:t>92 855</w:t>
            </w:r>
          </w:p>
        </w:tc>
      </w:tr>
      <w:tr w:rsidR="008E2A4C" w:rsidRPr="008E2A4C" w14:paraId="15AA282F" w14:textId="77777777" w:rsidTr="008E2A4C">
        <w:trPr>
          <w:tblCellSpacing w:w="15" w:type="dxa"/>
        </w:trPr>
        <w:tc>
          <w:tcPr>
            <w:tcW w:w="2220" w:type="dxa"/>
            <w:vMerge/>
            <w:vAlign w:val="center"/>
            <w:hideMark/>
          </w:tcPr>
          <w:p w14:paraId="512154FF" w14:textId="77777777" w:rsidR="008E2A4C" w:rsidRPr="008E2A4C" w:rsidRDefault="008E2A4C" w:rsidP="008E2A4C">
            <w:pPr>
              <w:jc w:val="center"/>
              <w:rPr>
                <w:rFonts w:ascii="Cambria" w:hAnsi="Cambria"/>
              </w:rPr>
            </w:pPr>
          </w:p>
        </w:tc>
        <w:tc>
          <w:tcPr>
            <w:tcW w:w="5724" w:type="dxa"/>
            <w:vAlign w:val="center"/>
            <w:hideMark/>
          </w:tcPr>
          <w:p w14:paraId="06C6978D" w14:textId="77777777" w:rsidR="008E2A4C" w:rsidRPr="008E2A4C" w:rsidRDefault="008E2A4C" w:rsidP="008E2A4C">
            <w:pPr>
              <w:pStyle w:val="NormalWeb"/>
              <w:jc w:val="both"/>
              <w:rPr>
                <w:rFonts w:ascii="Cambria" w:hAnsi="Cambria"/>
              </w:rPr>
            </w:pPr>
            <w:proofErr w:type="gramStart"/>
            <w:r w:rsidRPr="008E2A4C">
              <w:rPr>
                <w:rFonts w:ascii="Cambria" w:hAnsi="Cambria"/>
              </w:rPr>
              <w:t>l'achat</w:t>
            </w:r>
            <w:proofErr w:type="gramEnd"/>
            <w:r w:rsidRPr="008E2A4C">
              <w:rPr>
                <w:rFonts w:ascii="Cambria" w:hAnsi="Cambria"/>
              </w:rPr>
              <w:t xml:space="preserve"> de 12 coffrets de protection pour les extincteurs posés dans les couloirs de l'établissement</w:t>
            </w:r>
          </w:p>
        </w:tc>
        <w:tc>
          <w:tcPr>
            <w:tcW w:w="1431" w:type="dxa"/>
            <w:vAlign w:val="center"/>
            <w:hideMark/>
          </w:tcPr>
          <w:p w14:paraId="0BB0B8B1" w14:textId="77777777" w:rsidR="008E2A4C" w:rsidRPr="008E2A4C" w:rsidRDefault="008E2A4C" w:rsidP="008E2A4C">
            <w:pPr>
              <w:pStyle w:val="NormalWeb"/>
              <w:jc w:val="right"/>
              <w:rPr>
                <w:rFonts w:ascii="Cambria" w:hAnsi="Cambria"/>
              </w:rPr>
            </w:pPr>
            <w:r w:rsidRPr="008E2A4C">
              <w:rPr>
                <w:rFonts w:ascii="Cambria" w:hAnsi="Cambria"/>
              </w:rPr>
              <w:t>231 632</w:t>
            </w:r>
          </w:p>
        </w:tc>
      </w:tr>
      <w:tr w:rsidR="008E2A4C" w:rsidRPr="008E2A4C" w14:paraId="3F8F6E7E" w14:textId="77777777" w:rsidTr="008E2A4C">
        <w:trPr>
          <w:tblCellSpacing w:w="15" w:type="dxa"/>
        </w:trPr>
        <w:tc>
          <w:tcPr>
            <w:tcW w:w="2220" w:type="dxa"/>
            <w:vMerge/>
            <w:vAlign w:val="center"/>
            <w:hideMark/>
          </w:tcPr>
          <w:p w14:paraId="3BD44A4C" w14:textId="77777777" w:rsidR="008E2A4C" w:rsidRPr="008E2A4C" w:rsidRDefault="008E2A4C" w:rsidP="008E2A4C">
            <w:pPr>
              <w:jc w:val="center"/>
              <w:rPr>
                <w:rFonts w:ascii="Cambria" w:hAnsi="Cambria"/>
              </w:rPr>
            </w:pPr>
          </w:p>
        </w:tc>
        <w:tc>
          <w:tcPr>
            <w:tcW w:w="5724" w:type="dxa"/>
            <w:vAlign w:val="center"/>
            <w:hideMark/>
          </w:tcPr>
          <w:p w14:paraId="5A331A6D" w14:textId="77777777" w:rsidR="008E2A4C" w:rsidRPr="008E2A4C" w:rsidRDefault="008E2A4C" w:rsidP="008E2A4C">
            <w:pPr>
              <w:pStyle w:val="NormalWeb"/>
              <w:jc w:val="both"/>
              <w:rPr>
                <w:rFonts w:ascii="Cambria" w:hAnsi="Cambria"/>
              </w:rPr>
            </w:pPr>
            <w:proofErr w:type="gramStart"/>
            <w:r w:rsidRPr="008E2A4C">
              <w:rPr>
                <w:rFonts w:ascii="Cambria" w:hAnsi="Cambria"/>
              </w:rPr>
              <w:t>l'éclairage</w:t>
            </w:r>
            <w:proofErr w:type="gramEnd"/>
            <w:r w:rsidRPr="008E2A4C">
              <w:rPr>
                <w:rFonts w:ascii="Cambria" w:hAnsi="Cambria"/>
              </w:rPr>
              <w:t xml:space="preserve"> du préau de l'établissement</w:t>
            </w:r>
          </w:p>
        </w:tc>
        <w:tc>
          <w:tcPr>
            <w:tcW w:w="1431" w:type="dxa"/>
            <w:vAlign w:val="center"/>
            <w:hideMark/>
          </w:tcPr>
          <w:p w14:paraId="7589B91C" w14:textId="77777777" w:rsidR="008E2A4C" w:rsidRPr="008E2A4C" w:rsidRDefault="008E2A4C" w:rsidP="008E2A4C">
            <w:pPr>
              <w:pStyle w:val="NormalWeb"/>
              <w:jc w:val="right"/>
              <w:rPr>
                <w:rFonts w:ascii="Cambria" w:hAnsi="Cambria"/>
              </w:rPr>
            </w:pPr>
            <w:r w:rsidRPr="008E2A4C">
              <w:rPr>
                <w:rFonts w:ascii="Cambria" w:hAnsi="Cambria"/>
              </w:rPr>
              <w:t>236 671</w:t>
            </w:r>
          </w:p>
        </w:tc>
      </w:tr>
      <w:tr w:rsidR="008E2A4C" w:rsidRPr="008E2A4C" w14:paraId="4F4DA046" w14:textId="77777777" w:rsidTr="008E2A4C">
        <w:trPr>
          <w:tblCellSpacing w:w="15" w:type="dxa"/>
        </w:trPr>
        <w:tc>
          <w:tcPr>
            <w:tcW w:w="2220" w:type="dxa"/>
            <w:vMerge w:val="restart"/>
            <w:vAlign w:val="center"/>
            <w:hideMark/>
          </w:tcPr>
          <w:p w14:paraId="7C8EB368" w14:textId="77777777" w:rsidR="008E2A4C" w:rsidRPr="008E2A4C" w:rsidRDefault="008E2A4C" w:rsidP="008E2A4C">
            <w:pPr>
              <w:pStyle w:val="NormalWeb"/>
              <w:jc w:val="center"/>
              <w:rPr>
                <w:rFonts w:ascii="Cambria" w:hAnsi="Cambria"/>
              </w:rPr>
            </w:pPr>
            <w:r w:rsidRPr="008E2A4C">
              <w:rPr>
                <w:rFonts w:ascii="Cambria" w:hAnsi="Cambria"/>
              </w:rPr>
              <w:t xml:space="preserve">Collège de </w:t>
            </w:r>
            <w:proofErr w:type="spellStart"/>
            <w:r w:rsidRPr="008E2A4C">
              <w:rPr>
                <w:rFonts w:ascii="Cambria" w:hAnsi="Cambria"/>
              </w:rPr>
              <w:t>Hitia'a</w:t>
            </w:r>
            <w:proofErr w:type="spellEnd"/>
          </w:p>
        </w:tc>
        <w:tc>
          <w:tcPr>
            <w:tcW w:w="5724" w:type="dxa"/>
            <w:vAlign w:val="center"/>
            <w:hideMark/>
          </w:tcPr>
          <w:p w14:paraId="0985A29B" w14:textId="77777777" w:rsidR="008E2A4C" w:rsidRPr="008E2A4C" w:rsidRDefault="008E2A4C" w:rsidP="008E2A4C">
            <w:pPr>
              <w:pStyle w:val="NormalWeb"/>
              <w:jc w:val="both"/>
              <w:rPr>
                <w:rFonts w:ascii="Cambria" w:hAnsi="Cambria"/>
              </w:rPr>
            </w:pPr>
            <w:proofErr w:type="gramStart"/>
            <w:r w:rsidRPr="008E2A4C">
              <w:rPr>
                <w:rFonts w:ascii="Cambria" w:hAnsi="Cambria"/>
              </w:rPr>
              <w:t>le</w:t>
            </w:r>
            <w:proofErr w:type="gramEnd"/>
            <w:r w:rsidRPr="008E2A4C">
              <w:rPr>
                <w:rFonts w:ascii="Cambria" w:hAnsi="Cambria"/>
              </w:rPr>
              <w:t xml:space="preserve"> renouvellement du fonds documentaire du Centre de Documentation et d'Information (CDI) du collège</w:t>
            </w:r>
          </w:p>
        </w:tc>
        <w:tc>
          <w:tcPr>
            <w:tcW w:w="1431" w:type="dxa"/>
            <w:vAlign w:val="center"/>
            <w:hideMark/>
          </w:tcPr>
          <w:p w14:paraId="66BBD7AB" w14:textId="77777777" w:rsidR="008E2A4C" w:rsidRPr="008E2A4C" w:rsidRDefault="008E2A4C" w:rsidP="008E2A4C">
            <w:pPr>
              <w:pStyle w:val="NormalWeb"/>
              <w:jc w:val="right"/>
              <w:rPr>
                <w:rFonts w:ascii="Cambria" w:hAnsi="Cambria"/>
              </w:rPr>
            </w:pPr>
            <w:r w:rsidRPr="008E2A4C">
              <w:rPr>
                <w:rFonts w:ascii="Cambria" w:hAnsi="Cambria"/>
              </w:rPr>
              <w:t>884 838</w:t>
            </w:r>
          </w:p>
        </w:tc>
      </w:tr>
      <w:tr w:rsidR="008E2A4C" w:rsidRPr="008E2A4C" w14:paraId="2838EE41" w14:textId="77777777" w:rsidTr="008E2A4C">
        <w:trPr>
          <w:tblCellSpacing w:w="15" w:type="dxa"/>
        </w:trPr>
        <w:tc>
          <w:tcPr>
            <w:tcW w:w="2220" w:type="dxa"/>
            <w:vMerge/>
            <w:vAlign w:val="center"/>
            <w:hideMark/>
          </w:tcPr>
          <w:p w14:paraId="700A7F82" w14:textId="77777777" w:rsidR="008E2A4C" w:rsidRPr="008E2A4C" w:rsidRDefault="008E2A4C" w:rsidP="008E2A4C">
            <w:pPr>
              <w:jc w:val="center"/>
              <w:rPr>
                <w:rFonts w:ascii="Cambria" w:hAnsi="Cambria"/>
              </w:rPr>
            </w:pPr>
          </w:p>
        </w:tc>
        <w:tc>
          <w:tcPr>
            <w:tcW w:w="5724" w:type="dxa"/>
            <w:vAlign w:val="center"/>
            <w:hideMark/>
          </w:tcPr>
          <w:p w14:paraId="5DCA9583" w14:textId="77777777" w:rsidR="008E2A4C" w:rsidRPr="008E2A4C" w:rsidRDefault="008E2A4C" w:rsidP="008E2A4C">
            <w:pPr>
              <w:pStyle w:val="NormalWeb"/>
              <w:jc w:val="both"/>
              <w:rPr>
                <w:rFonts w:ascii="Cambria" w:hAnsi="Cambria"/>
              </w:rPr>
            </w:pPr>
            <w:proofErr w:type="gramStart"/>
            <w:r w:rsidRPr="008E2A4C">
              <w:rPr>
                <w:rFonts w:ascii="Cambria" w:hAnsi="Cambria"/>
              </w:rPr>
              <w:t>l'achat</w:t>
            </w:r>
            <w:proofErr w:type="gramEnd"/>
            <w:r w:rsidRPr="008E2A4C">
              <w:rPr>
                <w:rFonts w:ascii="Cambria" w:hAnsi="Cambria"/>
              </w:rPr>
              <w:t xml:space="preserve"> de matériels nécessaires au fonctionnement de la nouvelle infirmerie du collège</w:t>
            </w:r>
          </w:p>
        </w:tc>
        <w:tc>
          <w:tcPr>
            <w:tcW w:w="1431" w:type="dxa"/>
            <w:vAlign w:val="center"/>
            <w:hideMark/>
          </w:tcPr>
          <w:p w14:paraId="3FD6A306" w14:textId="77777777" w:rsidR="008E2A4C" w:rsidRPr="008E2A4C" w:rsidRDefault="008E2A4C" w:rsidP="008E2A4C">
            <w:pPr>
              <w:pStyle w:val="NormalWeb"/>
              <w:jc w:val="right"/>
              <w:rPr>
                <w:rFonts w:ascii="Cambria" w:hAnsi="Cambria"/>
              </w:rPr>
            </w:pPr>
            <w:r w:rsidRPr="008E2A4C">
              <w:rPr>
                <w:rFonts w:ascii="Cambria" w:hAnsi="Cambria"/>
              </w:rPr>
              <w:t>155 939</w:t>
            </w:r>
          </w:p>
        </w:tc>
      </w:tr>
      <w:tr w:rsidR="008E2A4C" w:rsidRPr="008E2A4C" w14:paraId="35D68EAF" w14:textId="77777777" w:rsidTr="008E2A4C">
        <w:trPr>
          <w:tblCellSpacing w:w="15" w:type="dxa"/>
        </w:trPr>
        <w:tc>
          <w:tcPr>
            <w:tcW w:w="2220" w:type="dxa"/>
            <w:vMerge/>
            <w:vAlign w:val="center"/>
            <w:hideMark/>
          </w:tcPr>
          <w:p w14:paraId="2B18FB9F" w14:textId="77777777" w:rsidR="008E2A4C" w:rsidRPr="008E2A4C" w:rsidRDefault="008E2A4C" w:rsidP="008E2A4C">
            <w:pPr>
              <w:jc w:val="center"/>
              <w:rPr>
                <w:rFonts w:ascii="Cambria" w:hAnsi="Cambria"/>
              </w:rPr>
            </w:pPr>
          </w:p>
        </w:tc>
        <w:tc>
          <w:tcPr>
            <w:tcW w:w="5724" w:type="dxa"/>
            <w:vAlign w:val="center"/>
            <w:hideMark/>
          </w:tcPr>
          <w:p w14:paraId="7879CB97" w14:textId="77777777" w:rsidR="008E2A4C" w:rsidRPr="008E2A4C" w:rsidRDefault="008E2A4C" w:rsidP="008E2A4C">
            <w:pPr>
              <w:pStyle w:val="NormalWeb"/>
              <w:jc w:val="both"/>
              <w:rPr>
                <w:rFonts w:ascii="Cambria" w:hAnsi="Cambria"/>
              </w:rPr>
            </w:pPr>
            <w:proofErr w:type="gramStart"/>
            <w:r w:rsidRPr="008E2A4C">
              <w:rPr>
                <w:rFonts w:ascii="Cambria" w:hAnsi="Cambria"/>
              </w:rPr>
              <w:t>l'abonnement</w:t>
            </w:r>
            <w:proofErr w:type="gramEnd"/>
            <w:r w:rsidRPr="008E2A4C">
              <w:rPr>
                <w:rFonts w:ascii="Cambria" w:hAnsi="Cambria"/>
              </w:rPr>
              <w:t xml:space="preserve"> au réseau PROLAN et les travaux d'extension de la couverture réseau de l'établissement</w:t>
            </w:r>
          </w:p>
        </w:tc>
        <w:tc>
          <w:tcPr>
            <w:tcW w:w="1431" w:type="dxa"/>
            <w:vAlign w:val="center"/>
            <w:hideMark/>
          </w:tcPr>
          <w:p w14:paraId="73844EF9" w14:textId="77777777" w:rsidR="008E2A4C" w:rsidRPr="008E2A4C" w:rsidRDefault="008E2A4C" w:rsidP="008E2A4C">
            <w:pPr>
              <w:pStyle w:val="NormalWeb"/>
              <w:jc w:val="right"/>
              <w:rPr>
                <w:rFonts w:ascii="Cambria" w:hAnsi="Cambria"/>
              </w:rPr>
            </w:pPr>
            <w:r w:rsidRPr="008E2A4C">
              <w:rPr>
                <w:rFonts w:ascii="Cambria" w:hAnsi="Cambria"/>
              </w:rPr>
              <w:t>1 331 480</w:t>
            </w:r>
          </w:p>
        </w:tc>
      </w:tr>
      <w:tr w:rsidR="008E2A4C" w:rsidRPr="008E2A4C" w14:paraId="2D7F8ECD" w14:textId="77777777" w:rsidTr="008E2A4C">
        <w:trPr>
          <w:tblCellSpacing w:w="15" w:type="dxa"/>
        </w:trPr>
        <w:tc>
          <w:tcPr>
            <w:tcW w:w="2220" w:type="dxa"/>
            <w:vMerge w:val="restart"/>
            <w:vAlign w:val="center"/>
            <w:hideMark/>
          </w:tcPr>
          <w:p w14:paraId="032C9C88" w14:textId="77777777" w:rsidR="008E2A4C" w:rsidRPr="008E2A4C" w:rsidRDefault="008E2A4C" w:rsidP="008E2A4C">
            <w:pPr>
              <w:pStyle w:val="NormalWeb"/>
              <w:jc w:val="center"/>
              <w:rPr>
                <w:rFonts w:ascii="Cambria" w:hAnsi="Cambria"/>
              </w:rPr>
            </w:pPr>
            <w:r w:rsidRPr="008E2A4C">
              <w:rPr>
                <w:rFonts w:ascii="Cambria" w:hAnsi="Cambria"/>
              </w:rPr>
              <w:t xml:space="preserve">Collège de </w:t>
            </w:r>
            <w:proofErr w:type="spellStart"/>
            <w:r w:rsidRPr="008E2A4C">
              <w:rPr>
                <w:rFonts w:ascii="Cambria" w:hAnsi="Cambria"/>
              </w:rPr>
              <w:t>Mahina</w:t>
            </w:r>
            <w:proofErr w:type="spellEnd"/>
          </w:p>
        </w:tc>
        <w:tc>
          <w:tcPr>
            <w:tcW w:w="5724" w:type="dxa"/>
            <w:vAlign w:val="center"/>
            <w:hideMark/>
          </w:tcPr>
          <w:p w14:paraId="617DAF6C" w14:textId="77777777" w:rsidR="008E2A4C" w:rsidRPr="008E2A4C" w:rsidRDefault="008E2A4C" w:rsidP="008E2A4C">
            <w:pPr>
              <w:pStyle w:val="NormalWeb"/>
              <w:jc w:val="both"/>
              <w:rPr>
                <w:rFonts w:ascii="Cambria" w:hAnsi="Cambria"/>
              </w:rPr>
            </w:pPr>
            <w:proofErr w:type="gramStart"/>
            <w:r w:rsidRPr="008E2A4C">
              <w:rPr>
                <w:rFonts w:ascii="Cambria" w:hAnsi="Cambria"/>
              </w:rPr>
              <w:t>les</w:t>
            </w:r>
            <w:proofErr w:type="gramEnd"/>
            <w:r w:rsidRPr="008E2A4C">
              <w:rPr>
                <w:rFonts w:ascii="Cambria" w:hAnsi="Cambria"/>
              </w:rPr>
              <w:t xml:space="preserve"> travaux de peinture sur les façades de l'établissement</w:t>
            </w:r>
          </w:p>
        </w:tc>
        <w:tc>
          <w:tcPr>
            <w:tcW w:w="1431" w:type="dxa"/>
            <w:vAlign w:val="center"/>
            <w:hideMark/>
          </w:tcPr>
          <w:p w14:paraId="2DBFADE9" w14:textId="77777777" w:rsidR="008E2A4C" w:rsidRPr="008E2A4C" w:rsidRDefault="008E2A4C" w:rsidP="008E2A4C">
            <w:pPr>
              <w:pStyle w:val="NormalWeb"/>
              <w:jc w:val="right"/>
              <w:rPr>
                <w:rFonts w:ascii="Cambria" w:hAnsi="Cambria"/>
              </w:rPr>
            </w:pPr>
            <w:r w:rsidRPr="008E2A4C">
              <w:rPr>
                <w:rFonts w:ascii="Cambria" w:hAnsi="Cambria"/>
              </w:rPr>
              <w:t>400 000</w:t>
            </w:r>
          </w:p>
        </w:tc>
      </w:tr>
      <w:tr w:rsidR="008E2A4C" w:rsidRPr="008E2A4C" w14:paraId="183BE09D" w14:textId="77777777" w:rsidTr="008E2A4C">
        <w:trPr>
          <w:tblCellSpacing w:w="15" w:type="dxa"/>
        </w:trPr>
        <w:tc>
          <w:tcPr>
            <w:tcW w:w="2220" w:type="dxa"/>
            <w:vMerge/>
            <w:vAlign w:val="center"/>
            <w:hideMark/>
          </w:tcPr>
          <w:p w14:paraId="11960912" w14:textId="77777777" w:rsidR="008E2A4C" w:rsidRPr="008E2A4C" w:rsidRDefault="008E2A4C" w:rsidP="008E2A4C">
            <w:pPr>
              <w:jc w:val="center"/>
              <w:rPr>
                <w:rFonts w:ascii="Cambria" w:hAnsi="Cambria"/>
              </w:rPr>
            </w:pPr>
          </w:p>
        </w:tc>
        <w:tc>
          <w:tcPr>
            <w:tcW w:w="5724" w:type="dxa"/>
            <w:vAlign w:val="center"/>
            <w:hideMark/>
          </w:tcPr>
          <w:p w14:paraId="43E6ACAA" w14:textId="77777777" w:rsidR="008E2A4C" w:rsidRPr="008E2A4C" w:rsidRDefault="008E2A4C" w:rsidP="008E2A4C">
            <w:pPr>
              <w:pStyle w:val="NormalWeb"/>
              <w:jc w:val="both"/>
              <w:rPr>
                <w:rFonts w:ascii="Cambria" w:hAnsi="Cambria"/>
              </w:rPr>
            </w:pPr>
            <w:proofErr w:type="gramStart"/>
            <w:r w:rsidRPr="008E2A4C">
              <w:rPr>
                <w:rFonts w:ascii="Cambria" w:hAnsi="Cambria"/>
              </w:rPr>
              <w:t>l'achat</w:t>
            </w:r>
            <w:proofErr w:type="gramEnd"/>
            <w:r w:rsidRPr="008E2A4C">
              <w:rPr>
                <w:rFonts w:ascii="Cambria" w:hAnsi="Cambria"/>
              </w:rPr>
              <w:t xml:space="preserve"> de 5 vidéoprojecteurs à destination pédagogique</w:t>
            </w:r>
          </w:p>
        </w:tc>
        <w:tc>
          <w:tcPr>
            <w:tcW w:w="1431" w:type="dxa"/>
            <w:vAlign w:val="center"/>
            <w:hideMark/>
          </w:tcPr>
          <w:p w14:paraId="037AC749" w14:textId="77777777" w:rsidR="008E2A4C" w:rsidRPr="008E2A4C" w:rsidRDefault="008E2A4C" w:rsidP="008E2A4C">
            <w:pPr>
              <w:pStyle w:val="NormalWeb"/>
              <w:jc w:val="right"/>
              <w:rPr>
                <w:rFonts w:ascii="Cambria" w:hAnsi="Cambria"/>
              </w:rPr>
            </w:pPr>
            <w:r w:rsidRPr="008E2A4C">
              <w:rPr>
                <w:rFonts w:ascii="Cambria" w:hAnsi="Cambria"/>
              </w:rPr>
              <w:t>377 000</w:t>
            </w:r>
          </w:p>
        </w:tc>
      </w:tr>
      <w:tr w:rsidR="008E2A4C" w:rsidRPr="008E2A4C" w14:paraId="55297F09" w14:textId="77777777" w:rsidTr="008E2A4C">
        <w:trPr>
          <w:tblCellSpacing w:w="15" w:type="dxa"/>
        </w:trPr>
        <w:tc>
          <w:tcPr>
            <w:tcW w:w="2220" w:type="dxa"/>
            <w:vMerge w:val="restart"/>
            <w:vAlign w:val="center"/>
            <w:hideMark/>
          </w:tcPr>
          <w:p w14:paraId="4C249724" w14:textId="77777777" w:rsidR="008E2A4C" w:rsidRPr="008E2A4C" w:rsidRDefault="008E2A4C" w:rsidP="008E2A4C">
            <w:pPr>
              <w:pStyle w:val="NormalWeb"/>
              <w:jc w:val="center"/>
              <w:rPr>
                <w:rFonts w:ascii="Cambria" w:hAnsi="Cambria"/>
              </w:rPr>
            </w:pPr>
            <w:r w:rsidRPr="008E2A4C">
              <w:rPr>
                <w:rFonts w:ascii="Cambria" w:hAnsi="Cambria"/>
              </w:rPr>
              <w:t xml:space="preserve">Collège de </w:t>
            </w:r>
            <w:proofErr w:type="spellStart"/>
            <w:r w:rsidRPr="008E2A4C">
              <w:rPr>
                <w:rFonts w:ascii="Cambria" w:hAnsi="Cambria"/>
              </w:rPr>
              <w:t>Mataura</w:t>
            </w:r>
            <w:proofErr w:type="spellEnd"/>
            <w:r w:rsidRPr="008E2A4C">
              <w:rPr>
                <w:rFonts w:ascii="Cambria" w:hAnsi="Cambria"/>
              </w:rPr>
              <w:t xml:space="preserve"> - </w:t>
            </w:r>
            <w:proofErr w:type="spellStart"/>
            <w:r w:rsidRPr="008E2A4C">
              <w:rPr>
                <w:rFonts w:ascii="Cambria" w:hAnsi="Cambria"/>
              </w:rPr>
              <w:t>Tubuai</w:t>
            </w:r>
            <w:proofErr w:type="spellEnd"/>
          </w:p>
        </w:tc>
        <w:tc>
          <w:tcPr>
            <w:tcW w:w="5724" w:type="dxa"/>
            <w:vAlign w:val="center"/>
            <w:hideMark/>
          </w:tcPr>
          <w:p w14:paraId="32C70B15" w14:textId="77777777" w:rsidR="008E2A4C" w:rsidRPr="008E2A4C" w:rsidRDefault="008E2A4C" w:rsidP="008E2A4C">
            <w:pPr>
              <w:pStyle w:val="NormalWeb"/>
              <w:jc w:val="both"/>
              <w:rPr>
                <w:rFonts w:ascii="Cambria" w:hAnsi="Cambria"/>
              </w:rPr>
            </w:pPr>
            <w:proofErr w:type="gramStart"/>
            <w:r w:rsidRPr="008E2A4C">
              <w:rPr>
                <w:rFonts w:ascii="Cambria" w:hAnsi="Cambria"/>
              </w:rPr>
              <w:t>le</w:t>
            </w:r>
            <w:proofErr w:type="gramEnd"/>
            <w:r w:rsidRPr="008E2A4C">
              <w:rPr>
                <w:rFonts w:ascii="Cambria" w:hAnsi="Cambria"/>
              </w:rPr>
              <w:t xml:space="preserve"> renouvellement des matelas de l'internat</w:t>
            </w:r>
          </w:p>
        </w:tc>
        <w:tc>
          <w:tcPr>
            <w:tcW w:w="1431" w:type="dxa"/>
            <w:vAlign w:val="center"/>
            <w:hideMark/>
          </w:tcPr>
          <w:p w14:paraId="1900F7A7" w14:textId="77777777" w:rsidR="008E2A4C" w:rsidRPr="008E2A4C" w:rsidRDefault="008E2A4C" w:rsidP="008E2A4C">
            <w:pPr>
              <w:pStyle w:val="NormalWeb"/>
              <w:jc w:val="right"/>
              <w:rPr>
                <w:rFonts w:ascii="Cambria" w:hAnsi="Cambria"/>
              </w:rPr>
            </w:pPr>
            <w:r w:rsidRPr="008E2A4C">
              <w:rPr>
                <w:rFonts w:ascii="Cambria" w:hAnsi="Cambria"/>
              </w:rPr>
              <w:t>1 987 743</w:t>
            </w:r>
          </w:p>
        </w:tc>
      </w:tr>
      <w:tr w:rsidR="008E2A4C" w:rsidRPr="008E2A4C" w14:paraId="6F5DE19C" w14:textId="77777777" w:rsidTr="008E2A4C">
        <w:trPr>
          <w:tblCellSpacing w:w="15" w:type="dxa"/>
        </w:trPr>
        <w:tc>
          <w:tcPr>
            <w:tcW w:w="2220" w:type="dxa"/>
            <w:vMerge/>
            <w:vAlign w:val="center"/>
            <w:hideMark/>
          </w:tcPr>
          <w:p w14:paraId="33FB4D0B" w14:textId="77777777" w:rsidR="008E2A4C" w:rsidRPr="008E2A4C" w:rsidRDefault="008E2A4C" w:rsidP="008E2A4C">
            <w:pPr>
              <w:jc w:val="center"/>
              <w:rPr>
                <w:rFonts w:ascii="Cambria" w:hAnsi="Cambria"/>
              </w:rPr>
            </w:pPr>
          </w:p>
        </w:tc>
        <w:tc>
          <w:tcPr>
            <w:tcW w:w="5724" w:type="dxa"/>
            <w:vAlign w:val="center"/>
            <w:hideMark/>
          </w:tcPr>
          <w:p w14:paraId="4AC7717E" w14:textId="77777777" w:rsidR="008E2A4C" w:rsidRPr="008E2A4C" w:rsidRDefault="008E2A4C" w:rsidP="008E2A4C">
            <w:pPr>
              <w:pStyle w:val="NormalWeb"/>
              <w:jc w:val="both"/>
              <w:rPr>
                <w:rFonts w:ascii="Cambria" w:hAnsi="Cambria"/>
              </w:rPr>
            </w:pPr>
            <w:proofErr w:type="gramStart"/>
            <w:r w:rsidRPr="008E2A4C">
              <w:rPr>
                <w:rFonts w:ascii="Cambria" w:hAnsi="Cambria"/>
              </w:rPr>
              <w:t>le</w:t>
            </w:r>
            <w:proofErr w:type="gramEnd"/>
            <w:r w:rsidRPr="008E2A4C">
              <w:rPr>
                <w:rFonts w:ascii="Cambria" w:hAnsi="Cambria"/>
              </w:rPr>
              <w:t xml:space="preserve"> renouvellement des casiers de l’internat</w:t>
            </w:r>
          </w:p>
        </w:tc>
        <w:tc>
          <w:tcPr>
            <w:tcW w:w="1431" w:type="dxa"/>
            <w:vAlign w:val="center"/>
            <w:hideMark/>
          </w:tcPr>
          <w:p w14:paraId="6059C816" w14:textId="77777777" w:rsidR="008E2A4C" w:rsidRPr="008E2A4C" w:rsidRDefault="008E2A4C" w:rsidP="008E2A4C">
            <w:pPr>
              <w:pStyle w:val="NormalWeb"/>
              <w:jc w:val="right"/>
              <w:rPr>
                <w:rFonts w:ascii="Cambria" w:hAnsi="Cambria"/>
              </w:rPr>
            </w:pPr>
            <w:r w:rsidRPr="008E2A4C">
              <w:rPr>
                <w:rFonts w:ascii="Cambria" w:hAnsi="Cambria"/>
              </w:rPr>
              <w:t>862 495</w:t>
            </w:r>
          </w:p>
        </w:tc>
      </w:tr>
      <w:tr w:rsidR="008E2A4C" w:rsidRPr="008E2A4C" w14:paraId="1947D9BD" w14:textId="77777777" w:rsidTr="008E2A4C">
        <w:trPr>
          <w:tblCellSpacing w:w="15" w:type="dxa"/>
        </w:trPr>
        <w:tc>
          <w:tcPr>
            <w:tcW w:w="2220" w:type="dxa"/>
            <w:vMerge w:val="restart"/>
            <w:vAlign w:val="center"/>
            <w:hideMark/>
          </w:tcPr>
          <w:p w14:paraId="7FA513E8" w14:textId="77777777" w:rsidR="008E2A4C" w:rsidRPr="008E2A4C" w:rsidRDefault="008E2A4C" w:rsidP="008E2A4C">
            <w:pPr>
              <w:pStyle w:val="NormalWeb"/>
              <w:jc w:val="center"/>
              <w:rPr>
                <w:rFonts w:ascii="Cambria" w:hAnsi="Cambria"/>
              </w:rPr>
            </w:pPr>
            <w:r w:rsidRPr="008E2A4C">
              <w:rPr>
                <w:rFonts w:ascii="Cambria" w:hAnsi="Cambria"/>
              </w:rPr>
              <w:t>Collège de Afareaitu – Moorea</w:t>
            </w:r>
          </w:p>
        </w:tc>
        <w:tc>
          <w:tcPr>
            <w:tcW w:w="5724" w:type="dxa"/>
            <w:vAlign w:val="center"/>
            <w:hideMark/>
          </w:tcPr>
          <w:p w14:paraId="7AF99D65" w14:textId="77777777" w:rsidR="008E2A4C" w:rsidRPr="008E2A4C" w:rsidRDefault="008E2A4C" w:rsidP="008E2A4C">
            <w:pPr>
              <w:pStyle w:val="NormalWeb"/>
              <w:jc w:val="both"/>
              <w:rPr>
                <w:rFonts w:ascii="Cambria" w:hAnsi="Cambria"/>
              </w:rPr>
            </w:pPr>
            <w:r w:rsidRPr="008E2A4C">
              <w:rPr>
                <w:rFonts w:ascii="Cambria" w:hAnsi="Cambria"/>
              </w:rPr>
              <w:t>Les travaux de la toiture du préau</w:t>
            </w:r>
          </w:p>
        </w:tc>
        <w:tc>
          <w:tcPr>
            <w:tcW w:w="1431" w:type="dxa"/>
            <w:vAlign w:val="center"/>
            <w:hideMark/>
          </w:tcPr>
          <w:p w14:paraId="55181E1B" w14:textId="77777777" w:rsidR="008E2A4C" w:rsidRPr="008E2A4C" w:rsidRDefault="008E2A4C" w:rsidP="008E2A4C">
            <w:pPr>
              <w:pStyle w:val="NormalWeb"/>
              <w:jc w:val="right"/>
              <w:rPr>
                <w:rFonts w:ascii="Cambria" w:hAnsi="Cambria"/>
              </w:rPr>
            </w:pPr>
            <w:r w:rsidRPr="008E2A4C">
              <w:rPr>
                <w:rFonts w:ascii="Cambria" w:hAnsi="Cambria"/>
              </w:rPr>
              <w:t>1 808 000</w:t>
            </w:r>
          </w:p>
        </w:tc>
      </w:tr>
      <w:tr w:rsidR="008E2A4C" w:rsidRPr="008E2A4C" w14:paraId="5CC26476" w14:textId="77777777" w:rsidTr="008E2A4C">
        <w:trPr>
          <w:tblCellSpacing w:w="15" w:type="dxa"/>
        </w:trPr>
        <w:tc>
          <w:tcPr>
            <w:tcW w:w="2220" w:type="dxa"/>
            <w:vMerge/>
            <w:vAlign w:val="center"/>
            <w:hideMark/>
          </w:tcPr>
          <w:p w14:paraId="7478D8A9" w14:textId="77777777" w:rsidR="008E2A4C" w:rsidRPr="008E2A4C" w:rsidRDefault="008E2A4C" w:rsidP="008E2A4C">
            <w:pPr>
              <w:jc w:val="center"/>
              <w:rPr>
                <w:rFonts w:ascii="Cambria" w:hAnsi="Cambria"/>
              </w:rPr>
            </w:pPr>
          </w:p>
        </w:tc>
        <w:tc>
          <w:tcPr>
            <w:tcW w:w="5724" w:type="dxa"/>
            <w:vAlign w:val="center"/>
            <w:hideMark/>
          </w:tcPr>
          <w:p w14:paraId="5B1CC3A7" w14:textId="77777777" w:rsidR="008E2A4C" w:rsidRPr="008E2A4C" w:rsidRDefault="008E2A4C" w:rsidP="008E2A4C">
            <w:pPr>
              <w:pStyle w:val="NormalWeb"/>
              <w:jc w:val="both"/>
              <w:rPr>
                <w:rFonts w:ascii="Cambria" w:hAnsi="Cambria"/>
              </w:rPr>
            </w:pPr>
            <w:r w:rsidRPr="008E2A4C">
              <w:rPr>
                <w:rFonts w:ascii="Cambria" w:hAnsi="Cambria"/>
              </w:rPr>
              <w:t>Le renouvellement des rideaux métalliques de la cuisine</w:t>
            </w:r>
          </w:p>
        </w:tc>
        <w:tc>
          <w:tcPr>
            <w:tcW w:w="1431" w:type="dxa"/>
            <w:vAlign w:val="center"/>
            <w:hideMark/>
          </w:tcPr>
          <w:p w14:paraId="798ACC09" w14:textId="77777777" w:rsidR="008E2A4C" w:rsidRPr="008E2A4C" w:rsidRDefault="008E2A4C" w:rsidP="008E2A4C">
            <w:pPr>
              <w:pStyle w:val="NormalWeb"/>
              <w:jc w:val="right"/>
              <w:rPr>
                <w:rFonts w:ascii="Cambria" w:hAnsi="Cambria"/>
              </w:rPr>
            </w:pPr>
            <w:r w:rsidRPr="008E2A4C">
              <w:rPr>
                <w:rFonts w:ascii="Cambria" w:hAnsi="Cambria"/>
              </w:rPr>
              <w:t>321 778</w:t>
            </w:r>
          </w:p>
        </w:tc>
      </w:tr>
      <w:tr w:rsidR="008E2A4C" w:rsidRPr="008E2A4C" w14:paraId="7B5AECCB" w14:textId="77777777" w:rsidTr="008E2A4C">
        <w:trPr>
          <w:tblCellSpacing w:w="15" w:type="dxa"/>
        </w:trPr>
        <w:tc>
          <w:tcPr>
            <w:tcW w:w="2220" w:type="dxa"/>
            <w:vMerge/>
            <w:vAlign w:val="center"/>
            <w:hideMark/>
          </w:tcPr>
          <w:p w14:paraId="2894F1FD" w14:textId="77777777" w:rsidR="008E2A4C" w:rsidRPr="008E2A4C" w:rsidRDefault="008E2A4C" w:rsidP="008E2A4C">
            <w:pPr>
              <w:jc w:val="center"/>
              <w:rPr>
                <w:rFonts w:ascii="Cambria" w:hAnsi="Cambria"/>
              </w:rPr>
            </w:pPr>
          </w:p>
        </w:tc>
        <w:tc>
          <w:tcPr>
            <w:tcW w:w="5724" w:type="dxa"/>
            <w:vAlign w:val="center"/>
            <w:hideMark/>
          </w:tcPr>
          <w:p w14:paraId="751438B2" w14:textId="77777777" w:rsidR="008E2A4C" w:rsidRPr="008E2A4C" w:rsidRDefault="008E2A4C" w:rsidP="008E2A4C">
            <w:pPr>
              <w:pStyle w:val="NormalWeb"/>
              <w:jc w:val="both"/>
              <w:rPr>
                <w:rFonts w:ascii="Cambria" w:hAnsi="Cambria"/>
              </w:rPr>
            </w:pPr>
            <w:r w:rsidRPr="008E2A4C">
              <w:rPr>
                <w:rFonts w:ascii="Cambria" w:hAnsi="Cambria"/>
              </w:rPr>
              <w:t>Les travaux de réparation des sanitaires des élèves, de l'évier de la cuisine et du lavabo de la salle des professeurs</w:t>
            </w:r>
          </w:p>
        </w:tc>
        <w:tc>
          <w:tcPr>
            <w:tcW w:w="1431" w:type="dxa"/>
            <w:vAlign w:val="center"/>
            <w:hideMark/>
          </w:tcPr>
          <w:p w14:paraId="23CFF0F0" w14:textId="77777777" w:rsidR="008E2A4C" w:rsidRPr="008E2A4C" w:rsidRDefault="008E2A4C" w:rsidP="008E2A4C">
            <w:pPr>
              <w:pStyle w:val="NormalWeb"/>
              <w:jc w:val="right"/>
              <w:rPr>
                <w:rFonts w:ascii="Cambria" w:hAnsi="Cambria"/>
              </w:rPr>
            </w:pPr>
            <w:r w:rsidRPr="008E2A4C">
              <w:rPr>
                <w:rFonts w:ascii="Cambria" w:hAnsi="Cambria"/>
              </w:rPr>
              <w:t>512 028</w:t>
            </w:r>
          </w:p>
        </w:tc>
      </w:tr>
      <w:tr w:rsidR="008E2A4C" w:rsidRPr="008E2A4C" w14:paraId="41C6D0EF" w14:textId="77777777" w:rsidTr="008E2A4C">
        <w:trPr>
          <w:tblCellSpacing w:w="15" w:type="dxa"/>
        </w:trPr>
        <w:tc>
          <w:tcPr>
            <w:tcW w:w="2220" w:type="dxa"/>
            <w:vMerge w:val="restart"/>
            <w:vAlign w:val="center"/>
            <w:hideMark/>
          </w:tcPr>
          <w:p w14:paraId="6A3B1E21" w14:textId="77777777" w:rsidR="008E2A4C" w:rsidRPr="008E2A4C" w:rsidRDefault="008E2A4C" w:rsidP="008E2A4C">
            <w:pPr>
              <w:pStyle w:val="NormalWeb"/>
              <w:jc w:val="center"/>
              <w:rPr>
                <w:rFonts w:ascii="Cambria" w:hAnsi="Cambria"/>
              </w:rPr>
            </w:pPr>
            <w:r w:rsidRPr="008E2A4C">
              <w:rPr>
                <w:rFonts w:ascii="Cambria" w:hAnsi="Cambria"/>
              </w:rPr>
              <w:t xml:space="preserve">Collège de </w:t>
            </w:r>
            <w:proofErr w:type="spellStart"/>
            <w:r w:rsidRPr="008E2A4C">
              <w:rPr>
                <w:rFonts w:ascii="Cambria" w:hAnsi="Cambria"/>
              </w:rPr>
              <w:t>Faaroa</w:t>
            </w:r>
            <w:proofErr w:type="spellEnd"/>
          </w:p>
        </w:tc>
        <w:tc>
          <w:tcPr>
            <w:tcW w:w="5724" w:type="dxa"/>
            <w:vAlign w:val="center"/>
            <w:hideMark/>
          </w:tcPr>
          <w:p w14:paraId="78FFD7E3" w14:textId="77777777" w:rsidR="008E2A4C" w:rsidRPr="008E2A4C" w:rsidRDefault="008E2A4C" w:rsidP="008E2A4C">
            <w:pPr>
              <w:pStyle w:val="NormalWeb"/>
              <w:jc w:val="both"/>
              <w:rPr>
                <w:rFonts w:ascii="Cambria" w:hAnsi="Cambria"/>
              </w:rPr>
            </w:pPr>
            <w:r w:rsidRPr="008E2A4C">
              <w:rPr>
                <w:rFonts w:ascii="Cambria" w:hAnsi="Cambria"/>
              </w:rPr>
              <w:t>Le remplacement des descentes d'eau pluviale</w:t>
            </w:r>
          </w:p>
        </w:tc>
        <w:tc>
          <w:tcPr>
            <w:tcW w:w="1431" w:type="dxa"/>
            <w:vAlign w:val="center"/>
            <w:hideMark/>
          </w:tcPr>
          <w:p w14:paraId="0A0A21FE" w14:textId="77777777" w:rsidR="008E2A4C" w:rsidRPr="008E2A4C" w:rsidRDefault="008E2A4C" w:rsidP="008E2A4C">
            <w:pPr>
              <w:pStyle w:val="NormalWeb"/>
              <w:jc w:val="right"/>
              <w:rPr>
                <w:rFonts w:ascii="Cambria" w:hAnsi="Cambria"/>
              </w:rPr>
            </w:pPr>
            <w:r w:rsidRPr="008E2A4C">
              <w:rPr>
                <w:rFonts w:ascii="Cambria" w:hAnsi="Cambria"/>
              </w:rPr>
              <w:t>1 486 966</w:t>
            </w:r>
          </w:p>
        </w:tc>
      </w:tr>
      <w:tr w:rsidR="008E2A4C" w:rsidRPr="008E2A4C" w14:paraId="5ADABA27" w14:textId="77777777" w:rsidTr="008E2A4C">
        <w:trPr>
          <w:tblCellSpacing w:w="15" w:type="dxa"/>
        </w:trPr>
        <w:tc>
          <w:tcPr>
            <w:tcW w:w="2220" w:type="dxa"/>
            <w:vMerge/>
            <w:vAlign w:val="center"/>
            <w:hideMark/>
          </w:tcPr>
          <w:p w14:paraId="034A3B7E" w14:textId="77777777" w:rsidR="008E2A4C" w:rsidRPr="008E2A4C" w:rsidRDefault="008E2A4C" w:rsidP="008E2A4C">
            <w:pPr>
              <w:jc w:val="center"/>
              <w:rPr>
                <w:rFonts w:ascii="Cambria" w:hAnsi="Cambria"/>
              </w:rPr>
            </w:pPr>
          </w:p>
        </w:tc>
        <w:tc>
          <w:tcPr>
            <w:tcW w:w="5724" w:type="dxa"/>
            <w:vAlign w:val="center"/>
            <w:hideMark/>
          </w:tcPr>
          <w:p w14:paraId="51D8FC02" w14:textId="77777777" w:rsidR="008E2A4C" w:rsidRPr="008E2A4C" w:rsidRDefault="008E2A4C" w:rsidP="008E2A4C">
            <w:pPr>
              <w:pStyle w:val="NormalWeb"/>
              <w:jc w:val="both"/>
              <w:rPr>
                <w:rFonts w:ascii="Cambria" w:hAnsi="Cambria"/>
              </w:rPr>
            </w:pPr>
            <w:r w:rsidRPr="008E2A4C">
              <w:rPr>
                <w:rFonts w:ascii="Cambria" w:hAnsi="Cambria"/>
              </w:rPr>
              <w:t>Les travaux d'étanchéité de la toiture du réfectoire et de la cuisine</w:t>
            </w:r>
          </w:p>
        </w:tc>
        <w:tc>
          <w:tcPr>
            <w:tcW w:w="1431" w:type="dxa"/>
            <w:vAlign w:val="center"/>
            <w:hideMark/>
          </w:tcPr>
          <w:p w14:paraId="0C48AB27" w14:textId="77777777" w:rsidR="008E2A4C" w:rsidRPr="008E2A4C" w:rsidRDefault="008E2A4C" w:rsidP="008E2A4C">
            <w:pPr>
              <w:pStyle w:val="NormalWeb"/>
              <w:jc w:val="right"/>
              <w:rPr>
                <w:rFonts w:ascii="Cambria" w:hAnsi="Cambria"/>
              </w:rPr>
            </w:pPr>
            <w:r w:rsidRPr="008E2A4C">
              <w:rPr>
                <w:rFonts w:ascii="Cambria" w:hAnsi="Cambria"/>
              </w:rPr>
              <w:t>605 239</w:t>
            </w:r>
          </w:p>
        </w:tc>
      </w:tr>
      <w:tr w:rsidR="008E2A4C" w:rsidRPr="008E2A4C" w14:paraId="42B027CA" w14:textId="77777777" w:rsidTr="008E2A4C">
        <w:trPr>
          <w:tblCellSpacing w:w="15" w:type="dxa"/>
        </w:trPr>
        <w:tc>
          <w:tcPr>
            <w:tcW w:w="2220" w:type="dxa"/>
            <w:vMerge/>
            <w:vAlign w:val="center"/>
            <w:hideMark/>
          </w:tcPr>
          <w:p w14:paraId="142452D9" w14:textId="77777777" w:rsidR="008E2A4C" w:rsidRPr="008E2A4C" w:rsidRDefault="008E2A4C" w:rsidP="008E2A4C">
            <w:pPr>
              <w:jc w:val="center"/>
              <w:rPr>
                <w:rFonts w:ascii="Cambria" w:hAnsi="Cambria"/>
              </w:rPr>
            </w:pPr>
          </w:p>
        </w:tc>
        <w:tc>
          <w:tcPr>
            <w:tcW w:w="5724" w:type="dxa"/>
            <w:vAlign w:val="center"/>
            <w:hideMark/>
          </w:tcPr>
          <w:p w14:paraId="508AF8CB" w14:textId="77777777" w:rsidR="008E2A4C" w:rsidRPr="008E2A4C" w:rsidRDefault="008E2A4C" w:rsidP="008E2A4C">
            <w:pPr>
              <w:pStyle w:val="NormalWeb"/>
              <w:jc w:val="both"/>
              <w:rPr>
                <w:rFonts w:ascii="Cambria" w:hAnsi="Cambria"/>
              </w:rPr>
            </w:pPr>
            <w:r w:rsidRPr="008E2A4C">
              <w:rPr>
                <w:rFonts w:ascii="Cambria" w:hAnsi="Cambria"/>
              </w:rPr>
              <w:t>La confection de rideaux ignifugés</w:t>
            </w:r>
          </w:p>
        </w:tc>
        <w:tc>
          <w:tcPr>
            <w:tcW w:w="1431" w:type="dxa"/>
            <w:vAlign w:val="center"/>
            <w:hideMark/>
          </w:tcPr>
          <w:p w14:paraId="7E7752CB" w14:textId="77777777" w:rsidR="008E2A4C" w:rsidRPr="008E2A4C" w:rsidRDefault="008E2A4C" w:rsidP="008E2A4C">
            <w:pPr>
              <w:pStyle w:val="NormalWeb"/>
              <w:jc w:val="right"/>
              <w:rPr>
                <w:rFonts w:ascii="Cambria" w:hAnsi="Cambria"/>
              </w:rPr>
            </w:pPr>
            <w:r w:rsidRPr="008E2A4C">
              <w:rPr>
                <w:rFonts w:ascii="Cambria" w:hAnsi="Cambria"/>
              </w:rPr>
              <w:t>762 545</w:t>
            </w:r>
          </w:p>
        </w:tc>
      </w:tr>
      <w:tr w:rsidR="008E2A4C" w:rsidRPr="008E2A4C" w14:paraId="19A47E7E" w14:textId="77777777" w:rsidTr="008E2A4C">
        <w:trPr>
          <w:tblCellSpacing w:w="15" w:type="dxa"/>
        </w:trPr>
        <w:tc>
          <w:tcPr>
            <w:tcW w:w="2220" w:type="dxa"/>
            <w:vMerge/>
            <w:vAlign w:val="center"/>
            <w:hideMark/>
          </w:tcPr>
          <w:p w14:paraId="7AF3358A" w14:textId="77777777" w:rsidR="008E2A4C" w:rsidRPr="008E2A4C" w:rsidRDefault="008E2A4C" w:rsidP="008E2A4C">
            <w:pPr>
              <w:jc w:val="center"/>
              <w:rPr>
                <w:rFonts w:ascii="Cambria" w:hAnsi="Cambria"/>
              </w:rPr>
            </w:pPr>
          </w:p>
        </w:tc>
        <w:tc>
          <w:tcPr>
            <w:tcW w:w="5724" w:type="dxa"/>
            <w:vAlign w:val="center"/>
            <w:hideMark/>
          </w:tcPr>
          <w:p w14:paraId="5F59E212" w14:textId="77777777" w:rsidR="008E2A4C" w:rsidRPr="008E2A4C" w:rsidRDefault="008E2A4C" w:rsidP="008E2A4C">
            <w:pPr>
              <w:pStyle w:val="NormalWeb"/>
              <w:jc w:val="both"/>
              <w:rPr>
                <w:rFonts w:ascii="Cambria" w:hAnsi="Cambria"/>
              </w:rPr>
            </w:pPr>
            <w:r w:rsidRPr="008E2A4C">
              <w:rPr>
                <w:rFonts w:ascii="Cambria" w:hAnsi="Cambria"/>
              </w:rPr>
              <w:t>Les travaux d'extension du centre de documentation et d'information (CDI)</w:t>
            </w:r>
          </w:p>
        </w:tc>
        <w:tc>
          <w:tcPr>
            <w:tcW w:w="1431" w:type="dxa"/>
            <w:vAlign w:val="center"/>
            <w:hideMark/>
          </w:tcPr>
          <w:p w14:paraId="1642BEF5" w14:textId="77777777" w:rsidR="008E2A4C" w:rsidRPr="008E2A4C" w:rsidRDefault="008E2A4C" w:rsidP="008E2A4C">
            <w:pPr>
              <w:pStyle w:val="NormalWeb"/>
              <w:jc w:val="right"/>
              <w:rPr>
                <w:rFonts w:ascii="Cambria" w:hAnsi="Cambria"/>
              </w:rPr>
            </w:pPr>
            <w:r w:rsidRPr="008E2A4C">
              <w:rPr>
                <w:rFonts w:ascii="Cambria" w:hAnsi="Cambria"/>
              </w:rPr>
              <w:t>265 550</w:t>
            </w:r>
          </w:p>
        </w:tc>
      </w:tr>
      <w:tr w:rsidR="008E2A4C" w:rsidRPr="008E2A4C" w14:paraId="6532F21E" w14:textId="77777777" w:rsidTr="008E2A4C">
        <w:trPr>
          <w:tblCellSpacing w:w="15" w:type="dxa"/>
        </w:trPr>
        <w:tc>
          <w:tcPr>
            <w:tcW w:w="2220" w:type="dxa"/>
            <w:vAlign w:val="center"/>
            <w:hideMark/>
          </w:tcPr>
          <w:p w14:paraId="5695782C" w14:textId="77777777" w:rsidR="008E2A4C" w:rsidRPr="008E2A4C" w:rsidRDefault="008E2A4C" w:rsidP="008E2A4C">
            <w:pPr>
              <w:pStyle w:val="NormalWeb"/>
              <w:jc w:val="center"/>
              <w:rPr>
                <w:rFonts w:ascii="Cambria" w:hAnsi="Cambria"/>
              </w:rPr>
            </w:pPr>
            <w:r w:rsidRPr="008E2A4C">
              <w:rPr>
                <w:rFonts w:ascii="Cambria" w:hAnsi="Cambria"/>
              </w:rPr>
              <w:t xml:space="preserve">Collège de </w:t>
            </w:r>
            <w:proofErr w:type="spellStart"/>
            <w:r w:rsidRPr="008E2A4C">
              <w:rPr>
                <w:rFonts w:ascii="Cambria" w:hAnsi="Cambria"/>
              </w:rPr>
              <w:t>Haamene</w:t>
            </w:r>
            <w:proofErr w:type="spellEnd"/>
            <w:r w:rsidRPr="008E2A4C">
              <w:rPr>
                <w:rFonts w:ascii="Cambria" w:hAnsi="Cambria"/>
              </w:rPr>
              <w:t xml:space="preserve"> - Tahaa</w:t>
            </w:r>
          </w:p>
        </w:tc>
        <w:tc>
          <w:tcPr>
            <w:tcW w:w="5724" w:type="dxa"/>
            <w:vAlign w:val="center"/>
            <w:hideMark/>
          </w:tcPr>
          <w:p w14:paraId="3F300601" w14:textId="77777777" w:rsidR="008E2A4C" w:rsidRPr="008E2A4C" w:rsidRDefault="008E2A4C" w:rsidP="008E2A4C">
            <w:pPr>
              <w:pStyle w:val="NormalWeb"/>
              <w:jc w:val="both"/>
              <w:rPr>
                <w:rFonts w:ascii="Cambria" w:hAnsi="Cambria"/>
              </w:rPr>
            </w:pPr>
            <w:r w:rsidRPr="008E2A4C">
              <w:rPr>
                <w:rFonts w:ascii="Cambria" w:hAnsi="Cambria"/>
              </w:rPr>
              <w:t>La prise en charge de la demi-pension des techniciens chargés des travaux de rénovation de la cuisine du collège</w:t>
            </w:r>
          </w:p>
        </w:tc>
        <w:tc>
          <w:tcPr>
            <w:tcW w:w="1431" w:type="dxa"/>
            <w:vAlign w:val="center"/>
            <w:hideMark/>
          </w:tcPr>
          <w:p w14:paraId="30631BEC" w14:textId="77777777" w:rsidR="008E2A4C" w:rsidRPr="008E2A4C" w:rsidRDefault="008E2A4C" w:rsidP="008E2A4C">
            <w:pPr>
              <w:pStyle w:val="NormalWeb"/>
              <w:jc w:val="right"/>
              <w:rPr>
                <w:rFonts w:ascii="Cambria" w:hAnsi="Cambria"/>
              </w:rPr>
            </w:pPr>
            <w:r w:rsidRPr="008E2A4C">
              <w:rPr>
                <w:rFonts w:ascii="Cambria" w:hAnsi="Cambria"/>
              </w:rPr>
              <w:t>263 800</w:t>
            </w:r>
          </w:p>
        </w:tc>
      </w:tr>
      <w:tr w:rsidR="008E2A4C" w:rsidRPr="008E2A4C" w14:paraId="18FC25FA" w14:textId="77777777" w:rsidTr="008E2A4C">
        <w:trPr>
          <w:tblCellSpacing w:w="15" w:type="dxa"/>
        </w:trPr>
        <w:tc>
          <w:tcPr>
            <w:tcW w:w="2220" w:type="dxa"/>
            <w:vMerge w:val="restart"/>
            <w:vAlign w:val="center"/>
            <w:hideMark/>
          </w:tcPr>
          <w:p w14:paraId="6E7F4A61" w14:textId="77777777" w:rsidR="008E2A4C" w:rsidRPr="008E2A4C" w:rsidRDefault="008E2A4C" w:rsidP="008E2A4C">
            <w:pPr>
              <w:pStyle w:val="NormalWeb"/>
              <w:jc w:val="center"/>
              <w:rPr>
                <w:rFonts w:ascii="Cambria" w:hAnsi="Cambria"/>
              </w:rPr>
            </w:pPr>
            <w:r w:rsidRPr="008E2A4C">
              <w:rPr>
                <w:rFonts w:ascii="Cambria" w:hAnsi="Cambria"/>
              </w:rPr>
              <w:t>Collège Henri-Hiro</w:t>
            </w:r>
          </w:p>
        </w:tc>
        <w:tc>
          <w:tcPr>
            <w:tcW w:w="5724" w:type="dxa"/>
            <w:vAlign w:val="center"/>
            <w:hideMark/>
          </w:tcPr>
          <w:p w14:paraId="24555125" w14:textId="77777777" w:rsidR="008E2A4C" w:rsidRPr="008E2A4C" w:rsidRDefault="008E2A4C" w:rsidP="008E2A4C">
            <w:pPr>
              <w:pStyle w:val="NormalWeb"/>
              <w:jc w:val="both"/>
              <w:rPr>
                <w:rFonts w:ascii="Cambria" w:hAnsi="Cambria"/>
              </w:rPr>
            </w:pPr>
            <w:r w:rsidRPr="008E2A4C">
              <w:rPr>
                <w:rFonts w:ascii="Cambria" w:hAnsi="Cambria"/>
              </w:rPr>
              <w:t>La maintenance du matériel informatique</w:t>
            </w:r>
          </w:p>
        </w:tc>
        <w:tc>
          <w:tcPr>
            <w:tcW w:w="1431" w:type="dxa"/>
            <w:vAlign w:val="center"/>
            <w:hideMark/>
          </w:tcPr>
          <w:p w14:paraId="7816AD1D" w14:textId="77777777" w:rsidR="008E2A4C" w:rsidRPr="008E2A4C" w:rsidRDefault="008E2A4C" w:rsidP="008E2A4C">
            <w:pPr>
              <w:pStyle w:val="NormalWeb"/>
              <w:jc w:val="right"/>
              <w:rPr>
                <w:rFonts w:ascii="Cambria" w:hAnsi="Cambria"/>
              </w:rPr>
            </w:pPr>
            <w:r w:rsidRPr="008E2A4C">
              <w:rPr>
                <w:rFonts w:ascii="Cambria" w:hAnsi="Cambria"/>
              </w:rPr>
              <w:t>1 582 000</w:t>
            </w:r>
          </w:p>
        </w:tc>
      </w:tr>
      <w:tr w:rsidR="008E2A4C" w:rsidRPr="008E2A4C" w14:paraId="42508079" w14:textId="77777777" w:rsidTr="008E2A4C">
        <w:trPr>
          <w:tblCellSpacing w:w="15" w:type="dxa"/>
        </w:trPr>
        <w:tc>
          <w:tcPr>
            <w:tcW w:w="2220" w:type="dxa"/>
            <w:vMerge/>
            <w:vAlign w:val="center"/>
            <w:hideMark/>
          </w:tcPr>
          <w:p w14:paraId="1C49A5CA" w14:textId="77777777" w:rsidR="008E2A4C" w:rsidRPr="008E2A4C" w:rsidRDefault="008E2A4C" w:rsidP="008E2A4C">
            <w:pPr>
              <w:jc w:val="center"/>
              <w:rPr>
                <w:rFonts w:ascii="Cambria" w:hAnsi="Cambria"/>
              </w:rPr>
            </w:pPr>
          </w:p>
        </w:tc>
        <w:tc>
          <w:tcPr>
            <w:tcW w:w="5724" w:type="dxa"/>
            <w:vAlign w:val="center"/>
            <w:hideMark/>
          </w:tcPr>
          <w:p w14:paraId="5069F22D" w14:textId="77777777" w:rsidR="008E2A4C" w:rsidRPr="008E2A4C" w:rsidRDefault="008E2A4C" w:rsidP="008E2A4C">
            <w:pPr>
              <w:pStyle w:val="NormalWeb"/>
              <w:jc w:val="both"/>
              <w:rPr>
                <w:rFonts w:ascii="Cambria" w:hAnsi="Cambria"/>
              </w:rPr>
            </w:pPr>
            <w:r w:rsidRPr="008E2A4C">
              <w:rPr>
                <w:rFonts w:ascii="Cambria" w:hAnsi="Cambria"/>
              </w:rPr>
              <w:t>L'externalisation de l'entretien des espaces verts</w:t>
            </w:r>
          </w:p>
        </w:tc>
        <w:tc>
          <w:tcPr>
            <w:tcW w:w="1431" w:type="dxa"/>
            <w:vAlign w:val="center"/>
            <w:hideMark/>
          </w:tcPr>
          <w:p w14:paraId="0B7C803E" w14:textId="77777777" w:rsidR="008E2A4C" w:rsidRPr="008E2A4C" w:rsidRDefault="008E2A4C" w:rsidP="008E2A4C">
            <w:pPr>
              <w:pStyle w:val="NormalWeb"/>
              <w:jc w:val="right"/>
              <w:rPr>
                <w:rFonts w:ascii="Cambria" w:hAnsi="Cambria"/>
              </w:rPr>
            </w:pPr>
            <w:r w:rsidRPr="008E2A4C">
              <w:rPr>
                <w:rFonts w:ascii="Cambria" w:hAnsi="Cambria"/>
              </w:rPr>
              <w:t>1 292 906</w:t>
            </w:r>
          </w:p>
        </w:tc>
      </w:tr>
      <w:tr w:rsidR="008E2A4C" w:rsidRPr="008E2A4C" w14:paraId="4178EFE0" w14:textId="77777777" w:rsidTr="008E2A4C">
        <w:trPr>
          <w:tblCellSpacing w:w="15" w:type="dxa"/>
        </w:trPr>
        <w:tc>
          <w:tcPr>
            <w:tcW w:w="2220" w:type="dxa"/>
            <w:vAlign w:val="center"/>
            <w:hideMark/>
          </w:tcPr>
          <w:p w14:paraId="255D7368" w14:textId="77777777" w:rsidR="008E2A4C" w:rsidRPr="008E2A4C" w:rsidRDefault="008E2A4C" w:rsidP="008E2A4C">
            <w:pPr>
              <w:pStyle w:val="NormalWeb"/>
              <w:jc w:val="center"/>
              <w:rPr>
                <w:rFonts w:ascii="Cambria" w:hAnsi="Cambria"/>
              </w:rPr>
            </w:pPr>
            <w:r w:rsidRPr="008E2A4C">
              <w:rPr>
                <w:rFonts w:ascii="Cambria" w:hAnsi="Cambria"/>
              </w:rPr>
              <w:t>Collège de Fare - Huahine</w:t>
            </w:r>
          </w:p>
        </w:tc>
        <w:tc>
          <w:tcPr>
            <w:tcW w:w="5724" w:type="dxa"/>
            <w:vAlign w:val="center"/>
            <w:hideMark/>
          </w:tcPr>
          <w:p w14:paraId="0D212145" w14:textId="77777777" w:rsidR="008E2A4C" w:rsidRPr="008E2A4C" w:rsidRDefault="008E2A4C" w:rsidP="008E2A4C">
            <w:pPr>
              <w:pStyle w:val="NormalWeb"/>
              <w:jc w:val="both"/>
              <w:rPr>
                <w:rFonts w:ascii="Cambria" w:hAnsi="Cambria"/>
              </w:rPr>
            </w:pPr>
            <w:r w:rsidRPr="008E2A4C">
              <w:rPr>
                <w:rFonts w:ascii="Cambria" w:hAnsi="Cambria"/>
              </w:rPr>
              <w:t>Les travaux de mise en conformité électrique</w:t>
            </w:r>
          </w:p>
        </w:tc>
        <w:tc>
          <w:tcPr>
            <w:tcW w:w="1431" w:type="dxa"/>
            <w:vAlign w:val="center"/>
            <w:hideMark/>
          </w:tcPr>
          <w:p w14:paraId="4B06084B" w14:textId="77777777" w:rsidR="008E2A4C" w:rsidRPr="008E2A4C" w:rsidRDefault="008E2A4C" w:rsidP="008E2A4C">
            <w:pPr>
              <w:pStyle w:val="NormalWeb"/>
              <w:jc w:val="right"/>
              <w:rPr>
                <w:rFonts w:ascii="Cambria" w:hAnsi="Cambria"/>
              </w:rPr>
            </w:pPr>
            <w:r w:rsidRPr="008E2A4C">
              <w:rPr>
                <w:rFonts w:ascii="Cambria" w:hAnsi="Cambria"/>
              </w:rPr>
              <w:t>2 644 832</w:t>
            </w:r>
          </w:p>
        </w:tc>
      </w:tr>
      <w:tr w:rsidR="008E2A4C" w:rsidRPr="008E2A4C" w14:paraId="7EF3A1C0" w14:textId="77777777" w:rsidTr="008E2A4C">
        <w:trPr>
          <w:tblCellSpacing w:w="15" w:type="dxa"/>
        </w:trPr>
        <w:tc>
          <w:tcPr>
            <w:tcW w:w="2220" w:type="dxa"/>
            <w:vMerge w:val="restart"/>
            <w:vAlign w:val="center"/>
            <w:hideMark/>
          </w:tcPr>
          <w:p w14:paraId="57973AEB" w14:textId="77777777" w:rsidR="008E2A4C" w:rsidRPr="008E2A4C" w:rsidRDefault="008E2A4C" w:rsidP="008E2A4C">
            <w:pPr>
              <w:pStyle w:val="NormalWeb"/>
              <w:jc w:val="center"/>
              <w:rPr>
                <w:rFonts w:ascii="Cambria" w:hAnsi="Cambria"/>
              </w:rPr>
            </w:pPr>
            <w:r w:rsidRPr="008E2A4C">
              <w:rPr>
                <w:rFonts w:ascii="Cambria" w:hAnsi="Cambria"/>
              </w:rPr>
              <w:t xml:space="preserve">Collège de </w:t>
            </w:r>
            <w:proofErr w:type="spellStart"/>
            <w:r w:rsidRPr="008E2A4C">
              <w:rPr>
                <w:rFonts w:ascii="Cambria" w:hAnsi="Cambria"/>
              </w:rPr>
              <w:t>Paopao</w:t>
            </w:r>
            <w:proofErr w:type="spellEnd"/>
            <w:r w:rsidRPr="008E2A4C">
              <w:rPr>
                <w:rFonts w:ascii="Cambria" w:hAnsi="Cambria"/>
              </w:rPr>
              <w:t xml:space="preserve"> - Moorea</w:t>
            </w:r>
          </w:p>
        </w:tc>
        <w:tc>
          <w:tcPr>
            <w:tcW w:w="5724" w:type="dxa"/>
            <w:vAlign w:val="center"/>
            <w:hideMark/>
          </w:tcPr>
          <w:p w14:paraId="5FBC1B57" w14:textId="77777777" w:rsidR="008E2A4C" w:rsidRPr="008E2A4C" w:rsidRDefault="008E2A4C" w:rsidP="008E2A4C">
            <w:pPr>
              <w:pStyle w:val="NormalWeb"/>
              <w:jc w:val="both"/>
              <w:rPr>
                <w:rFonts w:ascii="Cambria" w:hAnsi="Cambria"/>
              </w:rPr>
            </w:pPr>
            <w:r w:rsidRPr="008E2A4C">
              <w:rPr>
                <w:rFonts w:ascii="Cambria" w:hAnsi="Cambria"/>
              </w:rPr>
              <w:t>L'achat de tapis de sport</w:t>
            </w:r>
          </w:p>
        </w:tc>
        <w:tc>
          <w:tcPr>
            <w:tcW w:w="1431" w:type="dxa"/>
            <w:vAlign w:val="center"/>
            <w:hideMark/>
          </w:tcPr>
          <w:p w14:paraId="4E71CDDE" w14:textId="77777777" w:rsidR="008E2A4C" w:rsidRPr="008E2A4C" w:rsidRDefault="008E2A4C" w:rsidP="008E2A4C">
            <w:pPr>
              <w:pStyle w:val="NormalWeb"/>
              <w:jc w:val="right"/>
              <w:rPr>
                <w:rFonts w:ascii="Cambria" w:hAnsi="Cambria"/>
              </w:rPr>
            </w:pPr>
            <w:r w:rsidRPr="008E2A4C">
              <w:rPr>
                <w:rFonts w:ascii="Cambria" w:hAnsi="Cambria"/>
              </w:rPr>
              <w:t>2 106 400</w:t>
            </w:r>
          </w:p>
        </w:tc>
      </w:tr>
      <w:tr w:rsidR="008E2A4C" w:rsidRPr="008E2A4C" w14:paraId="279FF232" w14:textId="77777777" w:rsidTr="008E2A4C">
        <w:trPr>
          <w:tblCellSpacing w:w="15" w:type="dxa"/>
        </w:trPr>
        <w:tc>
          <w:tcPr>
            <w:tcW w:w="2220" w:type="dxa"/>
            <w:vMerge/>
            <w:vAlign w:val="center"/>
            <w:hideMark/>
          </w:tcPr>
          <w:p w14:paraId="6391365D" w14:textId="77777777" w:rsidR="008E2A4C" w:rsidRPr="008E2A4C" w:rsidRDefault="008E2A4C" w:rsidP="008E2A4C">
            <w:pPr>
              <w:jc w:val="center"/>
              <w:rPr>
                <w:rFonts w:ascii="Cambria" w:hAnsi="Cambria"/>
              </w:rPr>
            </w:pPr>
          </w:p>
        </w:tc>
        <w:tc>
          <w:tcPr>
            <w:tcW w:w="5724" w:type="dxa"/>
            <w:vAlign w:val="center"/>
            <w:hideMark/>
          </w:tcPr>
          <w:p w14:paraId="54DF721D" w14:textId="77777777" w:rsidR="008E2A4C" w:rsidRPr="008E2A4C" w:rsidRDefault="008E2A4C" w:rsidP="008E2A4C">
            <w:pPr>
              <w:pStyle w:val="NormalWeb"/>
              <w:jc w:val="both"/>
              <w:rPr>
                <w:rFonts w:ascii="Cambria" w:hAnsi="Cambria"/>
              </w:rPr>
            </w:pPr>
            <w:r w:rsidRPr="008E2A4C">
              <w:rPr>
                <w:rFonts w:ascii="Cambria" w:hAnsi="Cambria"/>
              </w:rPr>
              <w:t>Le renouvellement du mobilier du restaurant de la filière hôtellerie</w:t>
            </w:r>
          </w:p>
        </w:tc>
        <w:tc>
          <w:tcPr>
            <w:tcW w:w="1431" w:type="dxa"/>
            <w:vAlign w:val="center"/>
            <w:hideMark/>
          </w:tcPr>
          <w:p w14:paraId="1B29A4B2" w14:textId="77777777" w:rsidR="008E2A4C" w:rsidRPr="008E2A4C" w:rsidRDefault="008E2A4C" w:rsidP="008E2A4C">
            <w:pPr>
              <w:pStyle w:val="NormalWeb"/>
              <w:jc w:val="right"/>
              <w:rPr>
                <w:rFonts w:ascii="Cambria" w:hAnsi="Cambria"/>
              </w:rPr>
            </w:pPr>
            <w:r w:rsidRPr="008E2A4C">
              <w:rPr>
                <w:rFonts w:ascii="Cambria" w:hAnsi="Cambria"/>
              </w:rPr>
              <w:t>905 466</w:t>
            </w:r>
          </w:p>
        </w:tc>
      </w:tr>
      <w:tr w:rsidR="008E2A4C" w:rsidRPr="008E2A4C" w14:paraId="1F4F3C7F" w14:textId="77777777" w:rsidTr="008E2A4C">
        <w:trPr>
          <w:tblCellSpacing w:w="15" w:type="dxa"/>
        </w:trPr>
        <w:tc>
          <w:tcPr>
            <w:tcW w:w="2220" w:type="dxa"/>
            <w:vMerge/>
            <w:vAlign w:val="center"/>
            <w:hideMark/>
          </w:tcPr>
          <w:p w14:paraId="3E1B1E1D" w14:textId="77777777" w:rsidR="008E2A4C" w:rsidRPr="008E2A4C" w:rsidRDefault="008E2A4C" w:rsidP="008E2A4C">
            <w:pPr>
              <w:jc w:val="center"/>
              <w:rPr>
                <w:rFonts w:ascii="Cambria" w:hAnsi="Cambria"/>
              </w:rPr>
            </w:pPr>
          </w:p>
        </w:tc>
        <w:tc>
          <w:tcPr>
            <w:tcW w:w="5724" w:type="dxa"/>
            <w:vAlign w:val="center"/>
            <w:hideMark/>
          </w:tcPr>
          <w:p w14:paraId="315F0FFC" w14:textId="77777777" w:rsidR="008E2A4C" w:rsidRPr="008E2A4C" w:rsidRDefault="008E2A4C" w:rsidP="008E2A4C">
            <w:pPr>
              <w:pStyle w:val="NormalWeb"/>
              <w:jc w:val="both"/>
              <w:rPr>
                <w:rFonts w:ascii="Cambria" w:hAnsi="Cambria"/>
              </w:rPr>
            </w:pPr>
            <w:r w:rsidRPr="008E2A4C">
              <w:rPr>
                <w:rFonts w:ascii="Cambria" w:hAnsi="Cambria"/>
              </w:rPr>
              <w:t>La formation "prévention et secours civiques de niveau 1" des élèves de 3ème</w:t>
            </w:r>
          </w:p>
        </w:tc>
        <w:tc>
          <w:tcPr>
            <w:tcW w:w="1431" w:type="dxa"/>
            <w:vAlign w:val="center"/>
            <w:hideMark/>
          </w:tcPr>
          <w:p w14:paraId="26F4FB08" w14:textId="77777777" w:rsidR="008E2A4C" w:rsidRPr="008E2A4C" w:rsidRDefault="008E2A4C" w:rsidP="008E2A4C">
            <w:pPr>
              <w:pStyle w:val="NormalWeb"/>
              <w:jc w:val="right"/>
              <w:rPr>
                <w:rFonts w:ascii="Cambria" w:hAnsi="Cambria"/>
              </w:rPr>
            </w:pPr>
            <w:r w:rsidRPr="008E2A4C">
              <w:rPr>
                <w:rFonts w:ascii="Cambria" w:hAnsi="Cambria"/>
              </w:rPr>
              <w:t>900 000</w:t>
            </w:r>
          </w:p>
        </w:tc>
      </w:tr>
      <w:tr w:rsidR="008E2A4C" w:rsidRPr="008E2A4C" w14:paraId="12B65853" w14:textId="77777777" w:rsidTr="008E2A4C">
        <w:trPr>
          <w:tblCellSpacing w:w="15" w:type="dxa"/>
        </w:trPr>
        <w:tc>
          <w:tcPr>
            <w:tcW w:w="2220" w:type="dxa"/>
            <w:vAlign w:val="center"/>
            <w:hideMark/>
          </w:tcPr>
          <w:p w14:paraId="3DD09EC4" w14:textId="77777777" w:rsidR="008E2A4C" w:rsidRPr="008E2A4C" w:rsidRDefault="008E2A4C" w:rsidP="008E2A4C">
            <w:pPr>
              <w:pStyle w:val="NormalWeb"/>
              <w:jc w:val="center"/>
              <w:rPr>
                <w:rFonts w:ascii="Cambria" w:hAnsi="Cambria"/>
              </w:rPr>
            </w:pPr>
            <w:r w:rsidRPr="008E2A4C">
              <w:rPr>
                <w:rFonts w:ascii="Cambria" w:hAnsi="Cambria"/>
              </w:rPr>
              <w:t xml:space="preserve">Collège de </w:t>
            </w:r>
            <w:proofErr w:type="spellStart"/>
            <w:r w:rsidRPr="008E2A4C">
              <w:rPr>
                <w:rFonts w:ascii="Cambria" w:hAnsi="Cambria"/>
              </w:rPr>
              <w:t>Haamene</w:t>
            </w:r>
            <w:proofErr w:type="spellEnd"/>
            <w:r w:rsidRPr="008E2A4C">
              <w:rPr>
                <w:rFonts w:ascii="Cambria" w:hAnsi="Cambria"/>
              </w:rPr>
              <w:t xml:space="preserve"> – Tahaa</w:t>
            </w:r>
          </w:p>
        </w:tc>
        <w:tc>
          <w:tcPr>
            <w:tcW w:w="5724" w:type="dxa"/>
            <w:vAlign w:val="center"/>
            <w:hideMark/>
          </w:tcPr>
          <w:p w14:paraId="07679BC0" w14:textId="77777777" w:rsidR="008E2A4C" w:rsidRPr="008E2A4C" w:rsidRDefault="008E2A4C" w:rsidP="008E2A4C">
            <w:pPr>
              <w:pStyle w:val="NormalWeb"/>
              <w:jc w:val="both"/>
              <w:rPr>
                <w:rFonts w:ascii="Cambria" w:hAnsi="Cambria"/>
              </w:rPr>
            </w:pPr>
            <w:r w:rsidRPr="008E2A4C">
              <w:rPr>
                <w:rFonts w:ascii="Cambria" w:hAnsi="Cambria"/>
              </w:rPr>
              <w:t>Les travaux d'étanchéité de la toiture de certaines salles de classes du collège</w:t>
            </w:r>
          </w:p>
        </w:tc>
        <w:tc>
          <w:tcPr>
            <w:tcW w:w="1431" w:type="dxa"/>
            <w:vAlign w:val="center"/>
            <w:hideMark/>
          </w:tcPr>
          <w:p w14:paraId="2CCEC05C" w14:textId="77777777" w:rsidR="008E2A4C" w:rsidRPr="008E2A4C" w:rsidRDefault="008E2A4C" w:rsidP="008E2A4C">
            <w:pPr>
              <w:pStyle w:val="NormalWeb"/>
              <w:jc w:val="right"/>
              <w:rPr>
                <w:rFonts w:ascii="Cambria" w:hAnsi="Cambria"/>
              </w:rPr>
            </w:pPr>
            <w:r w:rsidRPr="008E2A4C">
              <w:rPr>
                <w:rFonts w:ascii="Cambria" w:hAnsi="Cambria"/>
              </w:rPr>
              <w:t>2 448 834</w:t>
            </w:r>
          </w:p>
        </w:tc>
      </w:tr>
      <w:tr w:rsidR="008E2A4C" w:rsidRPr="008E2A4C" w14:paraId="53535965" w14:textId="77777777" w:rsidTr="008E2A4C">
        <w:trPr>
          <w:tblCellSpacing w:w="15" w:type="dxa"/>
        </w:trPr>
        <w:tc>
          <w:tcPr>
            <w:tcW w:w="2220" w:type="dxa"/>
            <w:vMerge w:val="restart"/>
            <w:vAlign w:val="center"/>
            <w:hideMark/>
          </w:tcPr>
          <w:p w14:paraId="786725E4" w14:textId="77777777" w:rsidR="008E2A4C" w:rsidRPr="008E2A4C" w:rsidRDefault="008E2A4C" w:rsidP="008E2A4C">
            <w:pPr>
              <w:pStyle w:val="NormalWeb"/>
              <w:jc w:val="center"/>
              <w:rPr>
                <w:rFonts w:ascii="Cambria" w:hAnsi="Cambria"/>
              </w:rPr>
            </w:pPr>
            <w:r w:rsidRPr="008E2A4C">
              <w:rPr>
                <w:rFonts w:ascii="Cambria" w:hAnsi="Cambria"/>
              </w:rPr>
              <w:t>Lycée d’</w:t>
            </w:r>
            <w:proofErr w:type="spellStart"/>
            <w:r w:rsidRPr="008E2A4C">
              <w:rPr>
                <w:rFonts w:ascii="Cambria" w:hAnsi="Cambria"/>
              </w:rPr>
              <w:t>Uturoa</w:t>
            </w:r>
            <w:proofErr w:type="spellEnd"/>
            <w:r w:rsidRPr="008E2A4C">
              <w:rPr>
                <w:rFonts w:ascii="Cambria" w:hAnsi="Cambria"/>
              </w:rPr>
              <w:t xml:space="preserve"> - Raiatea</w:t>
            </w:r>
          </w:p>
        </w:tc>
        <w:tc>
          <w:tcPr>
            <w:tcW w:w="5724" w:type="dxa"/>
            <w:vAlign w:val="center"/>
            <w:hideMark/>
          </w:tcPr>
          <w:p w14:paraId="28258F72" w14:textId="77777777" w:rsidR="008E2A4C" w:rsidRPr="008E2A4C" w:rsidRDefault="008E2A4C" w:rsidP="008E2A4C">
            <w:pPr>
              <w:pStyle w:val="NormalWeb"/>
              <w:jc w:val="both"/>
              <w:rPr>
                <w:rFonts w:ascii="Cambria" w:hAnsi="Cambria"/>
              </w:rPr>
            </w:pPr>
            <w:r w:rsidRPr="008E2A4C">
              <w:rPr>
                <w:rFonts w:ascii="Cambria" w:hAnsi="Cambria"/>
              </w:rPr>
              <w:t>Les travaux de rénovation du bâtiment C</w:t>
            </w:r>
          </w:p>
        </w:tc>
        <w:tc>
          <w:tcPr>
            <w:tcW w:w="1431" w:type="dxa"/>
            <w:vAlign w:val="center"/>
            <w:hideMark/>
          </w:tcPr>
          <w:p w14:paraId="43FCC661" w14:textId="77777777" w:rsidR="008E2A4C" w:rsidRPr="008E2A4C" w:rsidRDefault="008E2A4C" w:rsidP="008E2A4C">
            <w:pPr>
              <w:pStyle w:val="NormalWeb"/>
              <w:jc w:val="right"/>
              <w:rPr>
                <w:rFonts w:ascii="Cambria" w:hAnsi="Cambria"/>
              </w:rPr>
            </w:pPr>
            <w:r w:rsidRPr="008E2A4C">
              <w:rPr>
                <w:rFonts w:ascii="Cambria" w:hAnsi="Cambria"/>
              </w:rPr>
              <w:t>570 000</w:t>
            </w:r>
          </w:p>
        </w:tc>
      </w:tr>
      <w:tr w:rsidR="008E2A4C" w:rsidRPr="008E2A4C" w14:paraId="1935EE10" w14:textId="77777777" w:rsidTr="008E2A4C">
        <w:trPr>
          <w:tblCellSpacing w:w="15" w:type="dxa"/>
        </w:trPr>
        <w:tc>
          <w:tcPr>
            <w:tcW w:w="2220" w:type="dxa"/>
            <w:vMerge/>
            <w:vAlign w:val="center"/>
            <w:hideMark/>
          </w:tcPr>
          <w:p w14:paraId="3F994F95" w14:textId="77777777" w:rsidR="008E2A4C" w:rsidRPr="008E2A4C" w:rsidRDefault="008E2A4C" w:rsidP="008E2A4C">
            <w:pPr>
              <w:jc w:val="center"/>
              <w:rPr>
                <w:rFonts w:ascii="Cambria" w:hAnsi="Cambria"/>
              </w:rPr>
            </w:pPr>
          </w:p>
        </w:tc>
        <w:tc>
          <w:tcPr>
            <w:tcW w:w="5724" w:type="dxa"/>
            <w:vAlign w:val="center"/>
            <w:hideMark/>
          </w:tcPr>
          <w:p w14:paraId="778EE370" w14:textId="77777777" w:rsidR="008E2A4C" w:rsidRPr="008E2A4C" w:rsidRDefault="008E2A4C" w:rsidP="008E2A4C">
            <w:pPr>
              <w:pStyle w:val="NormalWeb"/>
              <w:jc w:val="both"/>
              <w:rPr>
                <w:rFonts w:ascii="Cambria" w:hAnsi="Cambria"/>
              </w:rPr>
            </w:pPr>
            <w:r w:rsidRPr="008E2A4C">
              <w:rPr>
                <w:rFonts w:ascii="Cambria" w:hAnsi="Cambria"/>
              </w:rPr>
              <w:t>Les dépenses liées à la lutte contre la propagation du virus de la COVID 19</w:t>
            </w:r>
          </w:p>
        </w:tc>
        <w:tc>
          <w:tcPr>
            <w:tcW w:w="1431" w:type="dxa"/>
            <w:vAlign w:val="center"/>
            <w:hideMark/>
          </w:tcPr>
          <w:p w14:paraId="3FB83780" w14:textId="77777777" w:rsidR="008E2A4C" w:rsidRPr="008E2A4C" w:rsidRDefault="008E2A4C" w:rsidP="008E2A4C">
            <w:pPr>
              <w:pStyle w:val="NormalWeb"/>
              <w:jc w:val="right"/>
              <w:rPr>
                <w:rFonts w:ascii="Cambria" w:hAnsi="Cambria"/>
              </w:rPr>
            </w:pPr>
            <w:r w:rsidRPr="008E2A4C">
              <w:rPr>
                <w:rFonts w:ascii="Cambria" w:hAnsi="Cambria"/>
              </w:rPr>
              <w:t>1 091 739</w:t>
            </w:r>
          </w:p>
        </w:tc>
      </w:tr>
      <w:tr w:rsidR="008E2A4C" w:rsidRPr="008E2A4C" w14:paraId="54B61CEE" w14:textId="77777777" w:rsidTr="008E2A4C">
        <w:trPr>
          <w:tblCellSpacing w:w="15" w:type="dxa"/>
        </w:trPr>
        <w:tc>
          <w:tcPr>
            <w:tcW w:w="2220" w:type="dxa"/>
            <w:vMerge/>
            <w:vAlign w:val="center"/>
            <w:hideMark/>
          </w:tcPr>
          <w:p w14:paraId="44FA9702" w14:textId="77777777" w:rsidR="008E2A4C" w:rsidRPr="008E2A4C" w:rsidRDefault="008E2A4C" w:rsidP="008E2A4C">
            <w:pPr>
              <w:jc w:val="center"/>
              <w:rPr>
                <w:rFonts w:ascii="Cambria" w:hAnsi="Cambria"/>
              </w:rPr>
            </w:pPr>
          </w:p>
        </w:tc>
        <w:tc>
          <w:tcPr>
            <w:tcW w:w="5724" w:type="dxa"/>
            <w:vAlign w:val="center"/>
            <w:hideMark/>
          </w:tcPr>
          <w:p w14:paraId="5C7FEE3C" w14:textId="77777777" w:rsidR="008E2A4C" w:rsidRPr="008E2A4C" w:rsidRDefault="008E2A4C" w:rsidP="008E2A4C">
            <w:pPr>
              <w:pStyle w:val="NormalWeb"/>
              <w:jc w:val="both"/>
              <w:rPr>
                <w:rFonts w:ascii="Cambria" w:hAnsi="Cambria"/>
              </w:rPr>
            </w:pPr>
            <w:r w:rsidRPr="008E2A4C">
              <w:rPr>
                <w:rFonts w:ascii="Cambria" w:hAnsi="Cambria"/>
              </w:rPr>
              <w:t>Le renouvellement des plateaux de cuisine</w:t>
            </w:r>
          </w:p>
        </w:tc>
        <w:tc>
          <w:tcPr>
            <w:tcW w:w="1431" w:type="dxa"/>
            <w:vAlign w:val="center"/>
            <w:hideMark/>
          </w:tcPr>
          <w:p w14:paraId="32E34AB7" w14:textId="77777777" w:rsidR="008E2A4C" w:rsidRPr="008E2A4C" w:rsidRDefault="008E2A4C" w:rsidP="008E2A4C">
            <w:pPr>
              <w:pStyle w:val="NormalWeb"/>
              <w:jc w:val="right"/>
              <w:rPr>
                <w:rFonts w:ascii="Cambria" w:hAnsi="Cambria"/>
              </w:rPr>
            </w:pPr>
            <w:r w:rsidRPr="008E2A4C">
              <w:rPr>
                <w:rFonts w:ascii="Cambria" w:hAnsi="Cambria"/>
              </w:rPr>
              <w:t>430 685</w:t>
            </w:r>
          </w:p>
        </w:tc>
      </w:tr>
      <w:tr w:rsidR="008E2A4C" w:rsidRPr="008E2A4C" w14:paraId="0704578F" w14:textId="77777777" w:rsidTr="008E2A4C">
        <w:trPr>
          <w:tblCellSpacing w:w="15" w:type="dxa"/>
        </w:trPr>
        <w:tc>
          <w:tcPr>
            <w:tcW w:w="2220" w:type="dxa"/>
            <w:vMerge/>
            <w:vAlign w:val="center"/>
            <w:hideMark/>
          </w:tcPr>
          <w:p w14:paraId="6980B71E" w14:textId="77777777" w:rsidR="008E2A4C" w:rsidRPr="008E2A4C" w:rsidRDefault="008E2A4C" w:rsidP="008E2A4C">
            <w:pPr>
              <w:jc w:val="center"/>
              <w:rPr>
                <w:rFonts w:ascii="Cambria" w:hAnsi="Cambria"/>
              </w:rPr>
            </w:pPr>
          </w:p>
        </w:tc>
        <w:tc>
          <w:tcPr>
            <w:tcW w:w="5724" w:type="dxa"/>
            <w:vAlign w:val="center"/>
            <w:hideMark/>
          </w:tcPr>
          <w:p w14:paraId="09FDDFE1" w14:textId="77777777" w:rsidR="008E2A4C" w:rsidRPr="008E2A4C" w:rsidRDefault="008E2A4C" w:rsidP="008E2A4C">
            <w:pPr>
              <w:pStyle w:val="NormalWeb"/>
              <w:jc w:val="both"/>
              <w:rPr>
                <w:rFonts w:ascii="Cambria" w:hAnsi="Cambria"/>
              </w:rPr>
            </w:pPr>
            <w:r w:rsidRPr="008E2A4C">
              <w:rPr>
                <w:rFonts w:ascii="Cambria" w:hAnsi="Cambria"/>
              </w:rPr>
              <w:t>La mise en sécurité des bâtiments de l'internat</w:t>
            </w:r>
          </w:p>
        </w:tc>
        <w:tc>
          <w:tcPr>
            <w:tcW w:w="1431" w:type="dxa"/>
            <w:vAlign w:val="center"/>
            <w:hideMark/>
          </w:tcPr>
          <w:p w14:paraId="6B827661" w14:textId="77777777" w:rsidR="008E2A4C" w:rsidRPr="008E2A4C" w:rsidRDefault="008E2A4C" w:rsidP="008E2A4C">
            <w:pPr>
              <w:pStyle w:val="NormalWeb"/>
              <w:jc w:val="right"/>
              <w:rPr>
                <w:rFonts w:ascii="Cambria" w:hAnsi="Cambria"/>
              </w:rPr>
            </w:pPr>
            <w:r w:rsidRPr="008E2A4C">
              <w:rPr>
                <w:rFonts w:ascii="Cambria" w:hAnsi="Cambria"/>
              </w:rPr>
              <w:t>1 399 994</w:t>
            </w:r>
          </w:p>
        </w:tc>
      </w:tr>
      <w:tr w:rsidR="008E2A4C" w:rsidRPr="008E2A4C" w14:paraId="65452EED" w14:textId="77777777" w:rsidTr="008E2A4C">
        <w:trPr>
          <w:tblCellSpacing w:w="15" w:type="dxa"/>
        </w:trPr>
        <w:tc>
          <w:tcPr>
            <w:tcW w:w="2220" w:type="dxa"/>
            <w:vAlign w:val="center"/>
            <w:hideMark/>
          </w:tcPr>
          <w:p w14:paraId="4C9FC737" w14:textId="77777777" w:rsidR="008E2A4C" w:rsidRPr="008E2A4C" w:rsidRDefault="008E2A4C" w:rsidP="008E2A4C">
            <w:pPr>
              <w:pStyle w:val="NormalWeb"/>
              <w:jc w:val="center"/>
              <w:rPr>
                <w:rFonts w:ascii="Cambria" w:hAnsi="Cambria"/>
              </w:rPr>
            </w:pPr>
            <w:r w:rsidRPr="008E2A4C">
              <w:rPr>
                <w:rFonts w:ascii="Cambria" w:hAnsi="Cambria"/>
              </w:rPr>
              <w:t>Collège de Fare - Huahine</w:t>
            </w:r>
          </w:p>
        </w:tc>
        <w:tc>
          <w:tcPr>
            <w:tcW w:w="5724" w:type="dxa"/>
            <w:vAlign w:val="center"/>
            <w:hideMark/>
          </w:tcPr>
          <w:p w14:paraId="28AA60A6" w14:textId="77777777" w:rsidR="008E2A4C" w:rsidRPr="008E2A4C" w:rsidRDefault="008E2A4C" w:rsidP="008E2A4C">
            <w:pPr>
              <w:pStyle w:val="NormalWeb"/>
              <w:jc w:val="both"/>
              <w:rPr>
                <w:rFonts w:ascii="Cambria" w:hAnsi="Cambria"/>
              </w:rPr>
            </w:pPr>
            <w:r w:rsidRPr="008E2A4C">
              <w:rPr>
                <w:rFonts w:ascii="Cambria" w:hAnsi="Cambria"/>
              </w:rPr>
              <w:t>L'achat de produits et d'équipements nécessaires à la lutte contre la propagation du virus de la COVID 19</w:t>
            </w:r>
          </w:p>
        </w:tc>
        <w:tc>
          <w:tcPr>
            <w:tcW w:w="1431" w:type="dxa"/>
            <w:vAlign w:val="center"/>
            <w:hideMark/>
          </w:tcPr>
          <w:p w14:paraId="2B4A87B7" w14:textId="77777777" w:rsidR="008E2A4C" w:rsidRPr="008E2A4C" w:rsidRDefault="008E2A4C" w:rsidP="008E2A4C">
            <w:pPr>
              <w:pStyle w:val="NormalWeb"/>
              <w:jc w:val="right"/>
              <w:rPr>
                <w:rFonts w:ascii="Cambria" w:hAnsi="Cambria"/>
              </w:rPr>
            </w:pPr>
            <w:r w:rsidRPr="008E2A4C">
              <w:rPr>
                <w:rFonts w:ascii="Cambria" w:hAnsi="Cambria"/>
              </w:rPr>
              <w:t>812 000</w:t>
            </w:r>
          </w:p>
        </w:tc>
      </w:tr>
      <w:tr w:rsidR="008E2A4C" w:rsidRPr="008E2A4C" w14:paraId="52818A46" w14:textId="77777777" w:rsidTr="008E2A4C">
        <w:trPr>
          <w:tblCellSpacing w:w="15" w:type="dxa"/>
        </w:trPr>
        <w:tc>
          <w:tcPr>
            <w:tcW w:w="2220" w:type="dxa"/>
            <w:vMerge w:val="restart"/>
            <w:vAlign w:val="center"/>
            <w:hideMark/>
          </w:tcPr>
          <w:p w14:paraId="2A2623D3" w14:textId="77777777" w:rsidR="008E2A4C" w:rsidRPr="008E2A4C" w:rsidRDefault="008E2A4C" w:rsidP="008E2A4C">
            <w:pPr>
              <w:pStyle w:val="NormalWeb"/>
              <w:jc w:val="center"/>
              <w:rPr>
                <w:rFonts w:ascii="Cambria" w:hAnsi="Cambria"/>
              </w:rPr>
            </w:pPr>
            <w:r w:rsidRPr="008E2A4C">
              <w:rPr>
                <w:rFonts w:ascii="Cambria" w:hAnsi="Cambria"/>
              </w:rPr>
              <w:t xml:space="preserve">Lycée professionnel de </w:t>
            </w:r>
            <w:proofErr w:type="spellStart"/>
            <w:r w:rsidRPr="008E2A4C">
              <w:rPr>
                <w:rFonts w:ascii="Cambria" w:hAnsi="Cambria"/>
              </w:rPr>
              <w:t>Faa’a</w:t>
            </w:r>
            <w:proofErr w:type="spellEnd"/>
          </w:p>
        </w:tc>
        <w:tc>
          <w:tcPr>
            <w:tcW w:w="5724" w:type="dxa"/>
            <w:vAlign w:val="center"/>
            <w:hideMark/>
          </w:tcPr>
          <w:p w14:paraId="14391472" w14:textId="77777777" w:rsidR="008E2A4C" w:rsidRPr="008E2A4C" w:rsidRDefault="008E2A4C" w:rsidP="008E2A4C">
            <w:pPr>
              <w:pStyle w:val="NormalWeb"/>
              <w:jc w:val="both"/>
              <w:rPr>
                <w:rFonts w:ascii="Cambria" w:hAnsi="Cambria"/>
              </w:rPr>
            </w:pPr>
            <w:r w:rsidRPr="008E2A4C">
              <w:rPr>
                <w:rFonts w:ascii="Cambria" w:hAnsi="Cambria"/>
              </w:rPr>
              <w:t>L'alimentation électrique des sèches linge de l'internat</w:t>
            </w:r>
          </w:p>
        </w:tc>
        <w:tc>
          <w:tcPr>
            <w:tcW w:w="1431" w:type="dxa"/>
            <w:vAlign w:val="center"/>
            <w:hideMark/>
          </w:tcPr>
          <w:p w14:paraId="6CD21521" w14:textId="77777777" w:rsidR="008E2A4C" w:rsidRPr="008E2A4C" w:rsidRDefault="008E2A4C" w:rsidP="008E2A4C">
            <w:pPr>
              <w:pStyle w:val="NormalWeb"/>
              <w:jc w:val="right"/>
              <w:rPr>
                <w:rFonts w:ascii="Cambria" w:hAnsi="Cambria"/>
              </w:rPr>
            </w:pPr>
            <w:r w:rsidRPr="008E2A4C">
              <w:rPr>
                <w:rFonts w:ascii="Cambria" w:hAnsi="Cambria"/>
              </w:rPr>
              <w:t>1 199 111</w:t>
            </w:r>
          </w:p>
        </w:tc>
      </w:tr>
      <w:tr w:rsidR="008E2A4C" w:rsidRPr="008E2A4C" w14:paraId="203213CB" w14:textId="77777777" w:rsidTr="008E2A4C">
        <w:trPr>
          <w:tblCellSpacing w:w="15" w:type="dxa"/>
        </w:trPr>
        <w:tc>
          <w:tcPr>
            <w:tcW w:w="2220" w:type="dxa"/>
            <w:vMerge/>
            <w:vAlign w:val="center"/>
            <w:hideMark/>
          </w:tcPr>
          <w:p w14:paraId="4EA27FDD" w14:textId="77777777" w:rsidR="008E2A4C" w:rsidRPr="008E2A4C" w:rsidRDefault="008E2A4C" w:rsidP="008E2A4C">
            <w:pPr>
              <w:jc w:val="center"/>
              <w:rPr>
                <w:rFonts w:ascii="Cambria" w:hAnsi="Cambria"/>
              </w:rPr>
            </w:pPr>
          </w:p>
        </w:tc>
        <w:tc>
          <w:tcPr>
            <w:tcW w:w="5724" w:type="dxa"/>
            <w:vAlign w:val="center"/>
            <w:hideMark/>
          </w:tcPr>
          <w:p w14:paraId="4B10125B" w14:textId="77777777" w:rsidR="008E2A4C" w:rsidRPr="008E2A4C" w:rsidRDefault="008E2A4C" w:rsidP="008E2A4C">
            <w:pPr>
              <w:pStyle w:val="NormalWeb"/>
              <w:jc w:val="both"/>
              <w:rPr>
                <w:rFonts w:ascii="Cambria" w:hAnsi="Cambria"/>
              </w:rPr>
            </w:pPr>
            <w:r w:rsidRPr="008E2A4C">
              <w:rPr>
                <w:rFonts w:ascii="Cambria" w:hAnsi="Cambria"/>
              </w:rPr>
              <w:t xml:space="preserve">L'achat de </w:t>
            </w:r>
            <w:proofErr w:type="spellStart"/>
            <w:r w:rsidRPr="008E2A4C">
              <w:rPr>
                <w:rFonts w:ascii="Cambria" w:hAnsi="Cambria"/>
              </w:rPr>
              <w:t>switchs</w:t>
            </w:r>
            <w:proofErr w:type="spellEnd"/>
            <w:r w:rsidRPr="008E2A4C">
              <w:rPr>
                <w:rFonts w:ascii="Cambria" w:hAnsi="Cambria"/>
              </w:rPr>
              <w:t xml:space="preserve"> et matériels nécessaires au raccordement du réseau informatique de l'internat à celui du lycée</w:t>
            </w:r>
          </w:p>
        </w:tc>
        <w:tc>
          <w:tcPr>
            <w:tcW w:w="1431" w:type="dxa"/>
            <w:vAlign w:val="center"/>
            <w:hideMark/>
          </w:tcPr>
          <w:p w14:paraId="429D1B6E" w14:textId="77777777" w:rsidR="008E2A4C" w:rsidRPr="008E2A4C" w:rsidRDefault="008E2A4C" w:rsidP="008E2A4C">
            <w:pPr>
              <w:pStyle w:val="NormalWeb"/>
              <w:jc w:val="right"/>
              <w:rPr>
                <w:rFonts w:ascii="Cambria" w:hAnsi="Cambria"/>
              </w:rPr>
            </w:pPr>
            <w:r w:rsidRPr="008E2A4C">
              <w:rPr>
                <w:rFonts w:ascii="Cambria" w:hAnsi="Cambria"/>
              </w:rPr>
              <w:t>435 193</w:t>
            </w:r>
          </w:p>
        </w:tc>
      </w:tr>
      <w:tr w:rsidR="008E2A4C" w:rsidRPr="008E2A4C" w14:paraId="6D93DC4C" w14:textId="77777777" w:rsidTr="008E2A4C">
        <w:trPr>
          <w:tblCellSpacing w:w="15" w:type="dxa"/>
        </w:trPr>
        <w:tc>
          <w:tcPr>
            <w:tcW w:w="2220" w:type="dxa"/>
            <w:vMerge w:val="restart"/>
            <w:vAlign w:val="center"/>
            <w:hideMark/>
          </w:tcPr>
          <w:p w14:paraId="3C2E1B81" w14:textId="77777777" w:rsidR="008E2A4C" w:rsidRPr="008E2A4C" w:rsidRDefault="008E2A4C" w:rsidP="008E2A4C">
            <w:pPr>
              <w:pStyle w:val="NormalWeb"/>
              <w:jc w:val="center"/>
              <w:rPr>
                <w:rFonts w:ascii="Cambria" w:hAnsi="Cambria"/>
              </w:rPr>
            </w:pPr>
            <w:r w:rsidRPr="008E2A4C">
              <w:rPr>
                <w:rFonts w:ascii="Cambria" w:hAnsi="Cambria"/>
              </w:rPr>
              <w:t>Lycée professionnel d’</w:t>
            </w:r>
            <w:proofErr w:type="spellStart"/>
            <w:r w:rsidRPr="008E2A4C">
              <w:rPr>
                <w:rFonts w:ascii="Cambria" w:hAnsi="Cambria"/>
              </w:rPr>
              <w:t>Uturoa</w:t>
            </w:r>
            <w:proofErr w:type="spellEnd"/>
            <w:r w:rsidRPr="008E2A4C">
              <w:rPr>
                <w:rFonts w:ascii="Cambria" w:hAnsi="Cambria"/>
              </w:rPr>
              <w:t xml:space="preserve"> - Raiatea</w:t>
            </w:r>
          </w:p>
        </w:tc>
        <w:tc>
          <w:tcPr>
            <w:tcW w:w="5724" w:type="dxa"/>
            <w:vAlign w:val="center"/>
            <w:hideMark/>
          </w:tcPr>
          <w:p w14:paraId="4FE1E5A6" w14:textId="77777777" w:rsidR="008E2A4C" w:rsidRPr="008E2A4C" w:rsidRDefault="008E2A4C" w:rsidP="008E2A4C">
            <w:pPr>
              <w:pStyle w:val="NormalWeb"/>
              <w:jc w:val="both"/>
              <w:rPr>
                <w:rFonts w:ascii="Cambria" w:hAnsi="Cambria"/>
              </w:rPr>
            </w:pPr>
            <w:r w:rsidRPr="008E2A4C">
              <w:rPr>
                <w:rFonts w:ascii="Cambria" w:hAnsi="Cambria"/>
              </w:rPr>
              <w:t>Le remplacement des prises électriques de l'internat</w:t>
            </w:r>
          </w:p>
        </w:tc>
        <w:tc>
          <w:tcPr>
            <w:tcW w:w="1431" w:type="dxa"/>
            <w:vAlign w:val="center"/>
            <w:hideMark/>
          </w:tcPr>
          <w:p w14:paraId="2833FD94" w14:textId="77777777" w:rsidR="008E2A4C" w:rsidRPr="008E2A4C" w:rsidRDefault="008E2A4C" w:rsidP="008E2A4C">
            <w:pPr>
              <w:pStyle w:val="NormalWeb"/>
              <w:jc w:val="right"/>
              <w:rPr>
                <w:rFonts w:ascii="Cambria" w:hAnsi="Cambria"/>
              </w:rPr>
            </w:pPr>
            <w:r w:rsidRPr="008E2A4C">
              <w:rPr>
                <w:rFonts w:ascii="Cambria" w:hAnsi="Cambria"/>
              </w:rPr>
              <w:t>949 200</w:t>
            </w:r>
          </w:p>
        </w:tc>
      </w:tr>
      <w:tr w:rsidR="008E2A4C" w:rsidRPr="008E2A4C" w14:paraId="6ECC8722" w14:textId="77777777" w:rsidTr="008E2A4C">
        <w:trPr>
          <w:tblCellSpacing w:w="15" w:type="dxa"/>
        </w:trPr>
        <w:tc>
          <w:tcPr>
            <w:tcW w:w="2220" w:type="dxa"/>
            <w:vMerge/>
            <w:vAlign w:val="center"/>
            <w:hideMark/>
          </w:tcPr>
          <w:p w14:paraId="5C773F07" w14:textId="77777777" w:rsidR="008E2A4C" w:rsidRPr="008E2A4C" w:rsidRDefault="008E2A4C" w:rsidP="008E2A4C">
            <w:pPr>
              <w:jc w:val="center"/>
              <w:rPr>
                <w:rFonts w:ascii="Cambria" w:hAnsi="Cambria"/>
              </w:rPr>
            </w:pPr>
          </w:p>
        </w:tc>
        <w:tc>
          <w:tcPr>
            <w:tcW w:w="5724" w:type="dxa"/>
            <w:vAlign w:val="center"/>
            <w:hideMark/>
          </w:tcPr>
          <w:p w14:paraId="65B9CD47" w14:textId="77777777" w:rsidR="008E2A4C" w:rsidRPr="008E2A4C" w:rsidRDefault="008E2A4C" w:rsidP="008E2A4C">
            <w:pPr>
              <w:pStyle w:val="NormalWeb"/>
              <w:jc w:val="both"/>
              <w:rPr>
                <w:rFonts w:ascii="Cambria" w:hAnsi="Cambria"/>
              </w:rPr>
            </w:pPr>
            <w:r w:rsidRPr="008E2A4C">
              <w:rPr>
                <w:rFonts w:ascii="Cambria" w:hAnsi="Cambria"/>
              </w:rPr>
              <w:t>Les travaux de rénovation de l'atelier "maintenance automobile"</w:t>
            </w:r>
          </w:p>
        </w:tc>
        <w:tc>
          <w:tcPr>
            <w:tcW w:w="1431" w:type="dxa"/>
            <w:vAlign w:val="center"/>
            <w:hideMark/>
          </w:tcPr>
          <w:p w14:paraId="2404FF8D" w14:textId="77777777" w:rsidR="008E2A4C" w:rsidRPr="008E2A4C" w:rsidRDefault="008E2A4C" w:rsidP="008E2A4C">
            <w:pPr>
              <w:pStyle w:val="NormalWeb"/>
              <w:jc w:val="right"/>
              <w:rPr>
                <w:rFonts w:ascii="Cambria" w:hAnsi="Cambria"/>
              </w:rPr>
            </w:pPr>
            <w:r w:rsidRPr="008E2A4C">
              <w:rPr>
                <w:rFonts w:ascii="Cambria" w:hAnsi="Cambria"/>
              </w:rPr>
              <w:t>1 566 180</w:t>
            </w:r>
          </w:p>
        </w:tc>
      </w:tr>
      <w:tr w:rsidR="008E2A4C" w:rsidRPr="008E2A4C" w14:paraId="46B85AD9" w14:textId="77777777" w:rsidTr="008E2A4C">
        <w:trPr>
          <w:tblCellSpacing w:w="15" w:type="dxa"/>
        </w:trPr>
        <w:tc>
          <w:tcPr>
            <w:tcW w:w="2220" w:type="dxa"/>
            <w:vMerge/>
            <w:vAlign w:val="center"/>
            <w:hideMark/>
          </w:tcPr>
          <w:p w14:paraId="3769050F" w14:textId="77777777" w:rsidR="008E2A4C" w:rsidRPr="008E2A4C" w:rsidRDefault="008E2A4C" w:rsidP="008E2A4C">
            <w:pPr>
              <w:jc w:val="center"/>
              <w:rPr>
                <w:rFonts w:ascii="Cambria" w:hAnsi="Cambria"/>
              </w:rPr>
            </w:pPr>
          </w:p>
        </w:tc>
        <w:tc>
          <w:tcPr>
            <w:tcW w:w="5724" w:type="dxa"/>
            <w:vAlign w:val="center"/>
            <w:hideMark/>
          </w:tcPr>
          <w:p w14:paraId="52F3E4E4" w14:textId="77777777" w:rsidR="008E2A4C" w:rsidRPr="008E2A4C" w:rsidRDefault="008E2A4C" w:rsidP="008E2A4C">
            <w:pPr>
              <w:pStyle w:val="NormalWeb"/>
              <w:jc w:val="both"/>
              <w:rPr>
                <w:rFonts w:ascii="Cambria" w:hAnsi="Cambria"/>
              </w:rPr>
            </w:pPr>
            <w:r w:rsidRPr="008E2A4C">
              <w:rPr>
                <w:rFonts w:ascii="Cambria" w:hAnsi="Cambria"/>
              </w:rPr>
              <w:t>Les travaux d'évacuation des eaux pluviales</w:t>
            </w:r>
          </w:p>
        </w:tc>
        <w:tc>
          <w:tcPr>
            <w:tcW w:w="1431" w:type="dxa"/>
            <w:vAlign w:val="center"/>
            <w:hideMark/>
          </w:tcPr>
          <w:p w14:paraId="71A0F3DD" w14:textId="77777777" w:rsidR="008E2A4C" w:rsidRPr="008E2A4C" w:rsidRDefault="008E2A4C" w:rsidP="008E2A4C">
            <w:pPr>
              <w:pStyle w:val="NormalWeb"/>
              <w:jc w:val="right"/>
              <w:rPr>
                <w:rFonts w:ascii="Cambria" w:hAnsi="Cambria"/>
              </w:rPr>
            </w:pPr>
            <w:r w:rsidRPr="008E2A4C">
              <w:rPr>
                <w:rFonts w:ascii="Cambria" w:hAnsi="Cambria"/>
              </w:rPr>
              <w:t>661 050</w:t>
            </w:r>
          </w:p>
        </w:tc>
      </w:tr>
      <w:tr w:rsidR="008E2A4C" w:rsidRPr="008E2A4C" w14:paraId="09E94EA2" w14:textId="77777777" w:rsidTr="008E2A4C">
        <w:trPr>
          <w:tblCellSpacing w:w="15" w:type="dxa"/>
        </w:trPr>
        <w:tc>
          <w:tcPr>
            <w:tcW w:w="2220" w:type="dxa"/>
            <w:vMerge/>
            <w:vAlign w:val="center"/>
            <w:hideMark/>
          </w:tcPr>
          <w:p w14:paraId="29821086" w14:textId="77777777" w:rsidR="008E2A4C" w:rsidRPr="008E2A4C" w:rsidRDefault="008E2A4C" w:rsidP="008E2A4C">
            <w:pPr>
              <w:jc w:val="center"/>
              <w:rPr>
                <w:rFonts w:ascii="Cambria" w:hAnsi="Cambria"/>
              </w:rPr>
            </w:pPr>
          </w:p>
        </w:tc>
        <w:tc>
          <w:tcPr>
            <w:tcW w:w="5724" w:type="dxa"/>
            <w:vAlign w:val="center"/>
            <w:hideMark/>
          </w:tcPr>
          <w:p w14:paraId="7DC0A869" w14:textId="77777777" w:rsidR="008E2A4C" w:rsidRPr="008E2A4C" w:rsidRDefault="008E2A4C" w:rsidP="008E2A4C">
            <w:pPr>
              <w:pStyle w:val="NormalWeb"/>
              <w:jc w:val="both"/>
              <w:rPr>
                <w:rFonts w:ascii="Cambria" w:hAnsi="Cambria"/>
              </w:rPr>
            </w:pPr>
            <w:r w:rsidRPr="008E2A4C">
              <w:rPr>
                <w:rFonts w:ascii="Cambria" w:hAnsi="Cambria"/>
              </w:rPr>
              <w:t>L'achat de matériels nécessaires à la fabrication d'établis pour l'atelier de menuiserie</w:t>
            </w:r>
          </w:p>
        </w:tc>
        <w:tc>
          <w:tcPr>
            <w:tcW w:w="1431" w:type="dxa"/>
            <w:vAlign w:val="center"/>
            <w:hideMark/>
          </w:tcPr>
          <w:p w14:paraId="6309CC23" w14:textId="77777777" w:rsidR="008E2A4C" w:rsidRPr="008E2A4C" w:rsidRDefault="008E2A4C" w:rsidP="008E2A4C">
            <w:pPr>
              <w:pStyle w:val="NormalWeb"/>
              <w:jc w:val="right"/>
              <w:rPr>
                <w:rFonts w:ascii="Cambria" w:hAnsi="Cambria"/>
              </w:rPr>
            </w:pPr>
            <w:r w:rsidRPr="008E2A4C">
              <w:rPr>
                <w:rFonts w:ascii="Cambria" w:hAnsi="Cambria"/>
              </w:rPr>
              <w:t>645 926</w:t>
            </w:r>
          </w:p>
        </w:tc>
      </w:tr>
      <w:tr w:rsidR="008E2A4C" w:rsidRPr="008E2A4C" w14:paraId="37421D0A" w14:textId="77777777" w:rsidTr="008E2A4C">
        <w:trPr>
          <w:tblCellSpacing w:w="15" w:type="dxa"/>
        </w:trPr>
        <w:tc>
          <w:tcPr>
            <w:tcW w:w="2220" w:type="dxa"/>
            <w:vMerge/>
            <w:vAlign w:val="center"/>
            <w:hideMark/>
          </w:tcPr>
          <w:p w14:paraId="567A5040" w14:textId="77777777" w:rsidR="008E2A4C" w:rsidRPr="008E2A4C" w:rsidRDefault="008E2A4C" w:rsidP="008E2A4C">
            <w:pPr>
              <w:jc w:val="center"/>
              <w:rPr>
                <w:rFonts w:ascii="Cambria" w:hAnsi="Cambria"/>
              </w:rPr>
            </w:pPr>
          </w:p>
        </w:tc>
        <w:tc>
          <w:tcPr>
            <w:tcW w:w="5724" w:type="dxa"/>
            <w:vAlign w:val="center"/>
            <w:hideMark/>
          </w:tcPr>
          <w:p w14:paraId="2D659851" w14:textId="77777777" w:rsidR="008E2A4C" w:rsidRPr="008E2A4C" w:rsidRDefault="008E2A4C" w:rsidP="008E2A4C">
            <w:pPr>
              <w:pStyle w:val="NormalWeb"/>
              <w:jc w:val="both"/>
              <w:rPr>
                <w:rFonts w:ascii="Cambria" w:hAnsi="Cambria"/>
              </w:rPr>
            </w:pPr>
            <w:r w:rsidRPr="008E2A4C">
              <w:rPr>
                <w:rFonts w:ascii="Cambria" w:hAnsi="Cambria"/>
              </w:rPr>
              <w:t>L'achat de matériaux pour la construction de vestiaires dans l'atelier de menuiserie</w:t>
            </w:r>
          </w:p>
        </w:tc>
        <w:tc>
          <w:tcPr>
            <w:tcW w:w="1431" w:type="dxa"/>
            <w:vAlign w:val="center"/>
            <w:hideMark/>
          </w:tcPr>
          <w:p w14:paraId="2D9138F0" w14:textId="77777777" w:rsidR="008E2A4C" w:rsidRPr="008E2A4C" w:rsidRDefault="008E2A4C" w:rsidP="008E2A4C">
            <w:pPr>
              <w:pStyle w:val="NormalWeb"/>
              <w:jc w:val="right"/>
              <w:rPr>
                <w:rFonts w:ascii="Cambria" w:hAnsi="Cambria"/>
              </w:rPr>
            </w:pPr>
            <w:r w:rsidRPr="008E2A4C">
              <w:rPr>
                <w:rFonts w:ascii="Cambria" w:hAnsi="Cambria"/>
              </w:rPr>
              <w:t>1 561 086</w:t>
            </w:r>
          </w:p>
        </w:tc>
      </w:tr>
    </w:tbl>
    <w:p w14:paraId="7E60D7E7" w14:textId="77777777" w:rsidR="008E2A4C" w:rsidRPr="008E2A4C" w:rsidRDefault="008E2A4C" w:rsidP="008E2A4C">
      <w:pPr>
        <w:pStyle w:val="NormalWeb"/>
        <w:jc w:val="both"/>
        <w:rPr>
          <w:rFonts w:ascii="Cambria" w:hAnsi="Cambria"/>
        </w:rPr>
      </w:pPr>
      <w:r w:rsidRPr="008E2A4C">
        <w:rPr>
          <w:rStyle w:val="lev"/>
          <w:rFonts w:ascii="Cambria" w:hAnsi="Cambria"/>
        </w:rPr>
        <w:t>  </w:t>
      </w:r>
    </w:p>
    <w:p w14:paraId="32A5CB4C" w14:textId="174DC382" w:rsidR="00D47B92" w:rsidRDefault="00D47B92" w:rsidP="000A19DF">
      <w:pPr>
        <w:jc w:val="center"/>
        <w:rPr>
          <w:rFonts w:ascii="Cambria" w:hAnsi="Cambria" w:cs="Century Schoolbook"/>
        </w:rPr>
      </w:pPr>
    </w:p>
    <w:p w14:paraId="2AA178FC" w14:textId="77777777" w:rsidR="00487CEE" w:rsidRPr="00487CEE" w:rsidRDefault="00487CEE" w:rsidP="00487CEE">
      <w:pPr>
        <w:jc w:val="center"/>
        <w:rPr>
          <w:rFonts w:ascii="Cambria" w:hAnsi="Cambria" w:cs="Century Schoolbook"/>
        </w:rPr>
      </w:pPr>
      <w:r w:rsidRPr="00487CEE">
        <w:rPr>
          <w:rFonts w:ascii="Cambria" w:hAnsi="Cambria" w:cs="Century Schoolbook"/>
        </w:rPr>
        <w:t>-o-o-o-o-o-</w:t>
      </w:r>
    </w:p>
    <w:p w14:paraId="1D521D15" w14:textId="77777777" w:rsidR="00487CEE" w:rsidRPr="00964474" w:rsidRDefault="00487CEE" w:rsidP="000A19DF">
      <w:pPr>
        <w:jc w:val="center"/>
        <w:rPr>
          <w:rFonts w:ascii="Cambria" w:hAnsi="Cambria" w:cs="Century Schoolbook"/>
        </w:rPr>
      </w:pPr>
    </w:p>
    <w:sectPr w:rsidR="00487CEE" w:rsidRPr="009644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B4B7" w14:textId="77777777" w:rsidR="009A2544" w:rsidRDefault="009A2544" w:rsidP="00C50C9C">
      <w:r>
        <w:separator/>
      </w:r>
    </w:p>
  </w:endnote>
  <w:endnote w:type="continuationSeparator" w:id="0">
    <w:p w14:paraId="337B1BD7" w14:textId="77777777" w:rsidR="009A2544" w:rsidRDefault="009A2544" w:rsidP="00C5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C4D7" w14:textId="77777777" w:rsidR="009A2544" w:rsidRDefault="009A2544" w:rsidP="00C50C9C">
      <w:r>
        <w:separator/>
      </w:r>
    </w:p>
  </w:footnote>
  <w:footnote w:type="continuationSeparator" w:id="0">
    <w:p w14:paraId="54024AE9" w14:textId="77777777" w:rsidR="009A2544" w:rsidRDefault="009A2544" w:rsidP="00C50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3D2"/>
    <w:multiLevelType w:val="multilevel"/>
    <w:tmpl w:val="BA04D4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09742E"/>
    <w:multiLevelType w:val="hybridMultilevel"/>
    <w:tmpl w:val="9DF65DEC"/>
    <w:lvl w:ilvl="0" w:tplc="6A46920E">
      <w:numFmt w:val="bullet"/>
      <w:lvlText w:val="-"/>
      <w:lvlJc w:val="left"/>
      <w:pPr>
        <w:ind w:left="360" w:hanging="360"/>
      </w:pPr>
      <w:rPr>
        <w:rFonts w:ascii="Cambria" w:eastAsia="Times New Roman" w:hAnsi="Cambri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CA5406B"/>
    <w:multiLevelType w:val="multilevel"/>
    <w:tmpl w:val="FC4A4A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660162"/>
    <w:multiLevelType w:val="multilevel"/>
    <w:tmpl w:val="82BA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15075"/>
    <w:multiLevelType w:val="multilevel"/>
    <w:tmpl w:val="1840D442"/>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Times New Roman" w:eastAsia="Times New Roman" w:hAnsi="Times New Roman" w:cs="Times New Roman"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91B399D"/>
    <w:multiLevelType w:val="multilevel"/>
    <w:tmpl w:val="08DE88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C0503E"/>
    <w:multiLevelType w:val="multilevel"/>
    <w:tmpl w:val="34DE81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9" w15:restartNumberingAfterBreak="0">
    <w:nsid w:val="3638374F"/>
    <w:multiLevelType w:val="hybridMultilevel"/>
    <w:tmpl w:val="48C86EEA"/>
    <w:lvl w:ilvl="0" w:tplc="928EFA3A">
      <w:numFmt w:val="bullet"/>
      <w:lvlText w:val="-"/>
      <w:lvlJc w:val="left"/>
      <w:pPr>
        <w:ind w:left="360" w:hanging="360"/>
      </w:pPr>
      <w:rPr>
        <w:rFonts w:ascii="Times New Roman" w:eastAsia="Times New Roman" w:hAnsi="Times New Roman"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99C5916"/>
    <w:multiLevelType w:val="multilevel"/>
    <w:tmpl w:val="E49837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A5C16D6"/>
    <w:multiLevelType w:val="multilevel"/>
    <w:tmpl w:val="ABD47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6A85BE1"/>
    <w:multiLevelType w:val="multilevel"/>
    <w:tmpl w:val="1C1818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72F1BEA"/>
    <w:multiLevelType w:val="hybridMultilevel"/>
    <w:tmpl w:val="4D182612"/>
    <w:lvl w:ilvl="0" w:tplc="CB4219AA">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15:restartNumberingAfterBreak="0">
    <w:nsid w:val="4B7045FD"/>
    <w:multiLevelType w:val="multilevel"/>
    <w:tmpl w:val="76A874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5BF3633"/>
    <w:multiLevelType w:val="hybridMultilevel"/>
    <w:tmpl w:val="00D43D46"/>
    <w:lvl w:ilvl="0" w:tplc="8C68E718">
      <w:start w:val="8"/>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7" w15:restartNumberingAfterBreak="0">
    <w:nsid w:val="58627398"/>
    <w:multiLevelType w:val="hybridMultilevel"/>
    <w:tmpl w:val="373662B4"/>
    <w:lvl w:ilvl="0" w:tplc="579462E4">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4421153"/>
    <w:multiLevelType w:val="multilevel"/>
    <w:tmpl w:val="86529C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22" w15:restartNumberingAfterBreak="0">
    <w:nsid w:val="719658BB"/>
    <w:multiLevelType w:val="hybridMultilevel"/>
    <w:tmpl w:val="B470DBF2"/>
    <w:lvl w:ilvl="0" w:tplc="38440652">
      <w:start w:val="1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8"/>
    <w:lvlOverride w:ilvl="0">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18"/>
  </w:num>
  <w:num w:numId="6">
    <w:abstractNumId w:val="19"/>
  </w:num>
  <w:num w:numId="7">
    <w:abstractNumId w:val="14"/>
  </w:num>
  <w:num w:numId="8">
    <w:abstractNumId w:val="9"/>
  </w:num>
  <w:num w:numId="9">
    <w:abstractNumId w:val="4"/>
  </w:num>
  <w:num w:numId="10">
    <w:abstractNumId w:val="15"/>
  </w:num>
  <w:num w:numId="11">
    <w:abstractNumId w:val="1"/>
  </w:num>
  <w:num w:numId="12">
    <w:abstractNumId w:val="22"/>
  </w:num>
  <w:num w:numId="13">
    <w:abstractNumId w:val="16"/>
  </w:num>
  <w:num w:numId="14">
    <w:abstractNumId w:val="17"/>
  </w:num>
  <w:num w:numId="15">
    <w:abstractNumId w:val="6"/>
  </w:num>
  <w:num w:numId="16">
    <w:abstractNumId w:val="12"/>
  </w:num>
  <w:num w:numId="17">
    <w:abstractNumId w:val="3"/>
  </w:num>
  <w:num w:numId="18">
    <w:abstractNumId w:val="10"/>
  </w:num>
  <w:num w:numId="19">
    <w:abstractNumId w:val="5"/>
  </w:num>
  <w:num w:numId="20">
    <w:abstractNumId w:val="20"/>
  </w:num>
  <w:num w:numId="21">
    <w:abstractNumId w:val="2"/>
  </w:num>
  <w:num w:numId="22">
    <w:abstractNumId w:val="0"/>
  </w:num>
  <w:num w:numId="2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20635"/>
    <w:rsid w:val="000341A7"/>
    <w:rsid w:val="00062C36"/>
    <w:rsid w:val="00067B39"/>
    <w:rsid w:val="000A19DF"/>
    <w:rsid w:val="000C153E"/>
    <w:rsid w:val="000E490F"/>
    <w:rsid w:val="000F4C48"/>
    <w:rsid w:val="001019EF"/>
    <w:rsid w:val="0010365C"/>
    <w:rsid w:val="00106844"/>
    <w:rsid w:val="0011437E"/>
    <w:rsid w:val="001154EE"/>
    <w:rsid w:val="001657A7"/>
    <w:rsid w:val="00197F24"/>
    <w:rsid w:val="001A441F"/>
    <w:rsid w:val="001A6384"/>
    <w:rsid w:val="001B5671"/>
    <w:rsid w:val="001B6B39"/>
    <w:rsid w:val="00203E06"/>
    <w:rsid w:val="002073E8"/>
    <w:rsid w:val="002234A0"/>
    <w:rsid w:val="00261798"/>
    <w:rsid w:val="00263FAF"/>
    <w:rsid w:val="002659FD"/>
    <w:rsid w:val="002D2F1A"/>
    <w:rsid w:val="002F5CCE"/>
    <w:rsid w:val="00303F47"/>
    <w:rsid w:val="00315CE8"/>
    <w:rsid w:val="00324C73"/>
    <w:rsid w:val="00334B3D"/>
    <w:rsid w:val="00336845"/>
    <w:rsid w:val="003A785E"/>
    <w:rsid w:val="003E32DC"/>
    <w:rsid w:val="003E7569"/>
    <w:rsid w:val="003F24CA"/>
    <w:rsid w:val="00410ECC"/>
    <w:rsid w:val="004128F4"/>
    <w:rsid w:val="004178CE"/>
    <w:rsid w:val="004268C8"/>
    <w:rsid w:val="00453068"/>
    <w:rsid w:val="00464602"/>
    <w:rsid w:val="0047255C"/>
    <w:rsid w:val="0048276D"/>
    <w:rsid w:val="00487CEE"/>
    <w:rsid w:val="004A0B38"/>
    <w:rsid w:val="004A28D6"/>
    <w:rsid w:val="004A2D7B"/>
    <w:rsid w:val="004B00A1"/>
    <w:rsid w:val="004C71F3"/>
    <w:rsid w:val="004F1350"/>
    <w:rsid w:val="004F4E5C"/>
    <w:rsid w:val="00522EA0"/>
    <w:rsid w:val="00524E73"/>
    <w:rsid w:val="005314A8"/>
    <w:rsid w:val="00570711"/>
    <w:rsid w:val="00590A68"/>
    <w:rsid w:val="0059364C"/>
    <w:rsid w:val="005F3BE8"/>
    <w:rsid w:val="005F535E"/>
    <w:rsid w:val="0060389A"/>
    <w:rsid w:val="00617820"/>
    <w:rsid w:val="00625270"/>
    <w:rsid w:val="006676A1"/>
    <w:rsid w:val="0068337E"/>
    <w:rsid w:val="0068570C"/>
    <w:rsid w:val="00685D29"/>
    <w:rsid w:val="0068678A"/>
    <w:rsid w:val="00690ED4"/>
    <w:rsid w:val="006A7411"/>
    <w:rsid w:val="006B5397"/>
    <w:rsid w:val="006C3C9F"/>
    <w:rsid w:val="006C3CC1"/>
    <w:rsid w:val="006E6DA1"/>
    <w:rsid w:val="006F7FD4"/>
    <w:rsid w:val="00720225"/>
    <w:rsid w:val="00731EBA"/>
    <w:rsid w:val="00744496"/>
    <w:rsid w:val="00750891"/>
    <w:rsid w:val="00754E86"/>
    <w:rsid w:val="007A5E09"/>
    <w:rsid w:val="007A64AA"/>
    <w:rsid w:val="007A6A5E"/>
    <w:rsid w:val="007B796A"/>
    <w:rsid w:val="007E133D"/>
    <w:rsid w:val="007E1C32"/>
    <w:rsid w:val="007E62B3"/>
    <w:rsid w:val="008056CD"/>
    <w:rsid w:val="00807CE3"/>
    <w:rsid w:val="00814C48"/>
    <w:rsid w:val="00820BBC"/>
    <w:rsid w:val="00822589"/>
    <w:rsid w:val="00857600"/>
    <w:rsid w:val="00874B9B"/>
    <w:rsid w:val="008809BE"/>
    <w:rsid w:val="008823C5"/>
    <w:rsid w:val="00887E90"/>
    <w:rsid w:val="008900C4"/>
    <w:rsid w:val="00890177"/>
    <w:rsid w:val="008946C5"/>
    <w:rsid w:val="008C03E9"/>
    <w:rsid w:val="008D4C19"/>
    <w:rsid w:val="008E0300"/>
    <w:rsid w:val="008E2A4C"/>
    <w:rsid w:val="008E2E81"/>
    <w:rsid w:val="00902AD0"/>
    <w:rsid w:val="00916876"/>
    <w:rsid w:val="00920D6D"/>
    <w:rsid w:val="009263A2"/>
    <w:rsid w:val="0094375D"/>
    <w:rsid w:val="00964474"/>
    <w:rsid w:val="009646E6"/>
    <w:rsid w:val="00966231"/>
    <w:rsid w:val="009744ED"/>
    <w:rsid w:val="00981F34"/>
    <w:rsid w:val="00986E2E"/>
    <w:rsid w:val="009A0D8B"/>
    <w:rsid w:val="009A2544"/>
    <w:rsid w:val="009E34ED"/>
    <w:rsid w:val="009E7DA0"/>
    <w:rsid w:val="00A00B63"/>
    <w:rsid w:val="00A12C80"/>
    <w:rsid w:val="00A1301D"/>
    <w:rsid w:val="00A534C1"/>
    <w:rsid w:val="00A66B6A"/>
    <w:rsid w:val="00A751A0"/>
    <w:rsid w:val="00A83348"/>
    <w:rsid w:val="00A90C15"/>
    <w:rsid w:val="00AA1585"/>
    <w:rsid w:val="00AB5AD0"/>
    <w:rsid w:val="00AD364D"/>
    <w:rsid w:val="00AD4D7B"/>
    <w:rsid w:val="00AE0A7B"/>
    <w:rsid w:val="00AE4F23"/>
    <w:rsid w:val="00B05F97"/>
    <w:rsid w:val="00B22E99"/>
    <w:rsid w:val="00B2325C"/>
    <w:rsid w:val="00B31D2D"/>
    <w:rsid w:val="00B33E76"/>
    <w:rsid w:val="00B34C72"/>
    <w:rsid w:val="00B35075"/>
    <w:rsid w:val="00B7240B"/>
    <w:rsid w:val="00B81E7B"/>
    <w:rsid w:val="00B9245A"/>
    <w:rsid w:val="00B97C80"/>
    <w:rsid w:val="00BA4592"/>
    <w:rsid w:val="00BB77F0"/>
    <w:rsid w:val="00BD2018"/>
    <w:rsid w:val="00BE1F42"/>
    <w:rsid w:val="00BF6854"/>
    <w:rsid w:val="00C04662"/>
    <w:rsid w:val="00C069A5"/>
    <w:rsid w:val="00C257B4"/>
    <w:rsid w:val="00C2611A"/>
    <w:rsid w:val="00C41BF8"/>
    <w:rsid w:val="00C50C9C"/>
    <w:rsid w:val="00C6114E"/>
    <w:rsid w:val="00C76AD5"/>
    <w:rsid w:val="00C80BBF"/>
    <w:rsid w:val="00C853D5"/>
    <w:rsid w:val="00C87673"/>
    <w:rsid w:val="00C945C0"/>
    <w:rsid w:val="00CB73CF"/>
    <w:rsid w:val="00CC01A4"/>
    <w:rsid w:val="00CC024B"/>
    <w:rsid w:val="00CD3117"/>
    <w:rsid w:val="00D13D49"/>
    <w:rsid w:val="00D1539E"/>
    <w:rsid w:val="00D22A2D"/>
    <w:rsid w:val="00D410EC"/>
    <w:rsid w:val="00D47B92"/>
    <w:rsid w:val="00D54C82"/>
    <w:rsid w:val="00D5697C"/>
    <w:rsid w:val="00D64937"/>
    <w:rsid w:val="00D91BC5"/>
    <w:rsid w:val="00D92064"/>
    <w:rsid w:val="00DA7916"/>
    <w:rsid w:val="00DC0835"/>
    <w:rsid w:val="00DE0734"/>
    <w:rsid w:val="00E03ED5"/>
    <w:rsid w:val="00E226B8"/>
    <w:rsid w:val="00E40188"/>
    <w:rsid w:val="00E51A6D"/>
    <w:rsid w:val="00E7272E"/>
    <w:rsid w:val="00F07947"/>
    <w:rsid w:val="00F14D09"/>
    <w:rsid w:val="00F35395"/>
    <w:rsid w:val="00F530C1"/>
    <w:rsid w:val="00F767F2"/>
    <w:rsid w:val="00F81704"/>
    <w:rsid w:val="00F83C92"/>
    <w:rsid w:val="00F84689"/>
    <w:rsid w:val="00F90A62"/>
    <w:rsid w:val="00FB3F7A"/>
    <w:rsid w:val="00FC0BA3"/>
    <w:rsid w:val="00FD7003"/>
    <w:rsid w:val="00FE6F5D"/>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styleId="Notedebasdepage">
    <w:name w:val="footnote text"/>
    <w:basedOn w:val="Normal"/>
    <w:link w:val="NotedebasdepageCar"/>
    <w:uiPriority w:val="99"/>
    <w:semiHidden/>
    <w:unhideWhenUsed/>
    <w:rsid w:val="00C50C9C"/>
    <w:rPr>
      <w:sz w:val="20"/>
      <w:szCs w:val="20"/>
      <w:lang w:eastAsia="fr-FR"/>
    </w:rPr>
  </w:style>
  <w:style w:type="character" w:customStyle="1" w:styleId="NotedebasdepageCar">
    <w:name w:val="Note de bas de page Car"/>
    <w:basedOn w:val="Policepardfaut"/>
    <w:link w:val="Notedebasdepage"/>
    <w:uiPriority w:val="99"/>
    <w:semiHidden/>
    <w:rsid w:val="00C50C9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50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52850237">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9551574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68659618">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16118821">
      <w:bodyDiv w:val="1"/>
      <w:marLeft w:val="0"/>
      <w:marRight w:val="0"/>
      <w:marTop w:val="0"/>
      <w:marBottom w:val="0"/>
      <w:divBdr>
        <w:top w:val="none" w:sz="0" w:space="0" w:color="auto"/>
        <w:left w:val="none" w:sz="0" w:space="0" w:color="auto"/>
        <w:bottom w:val="none" w:sz="0" w:space="0" w:color="auto"/>
        <w:right w:val="none" w:sz="0" w:space="0" w:color="auto"/>
      </w:divBdr>
    </w:div>
    <w:div w:id="537931096">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998726096">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0546486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28740859">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86166425">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35297465">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 w:id="21392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itime.gov.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4736</Words>
  <Characters>26050</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2021-05-06T00:47:00Z</dcterms:created>
  <dcterms:modified xsi:type="dcterms:W3CDTF">2021-05-06T00:47:00Z</dcterms:modified>
</cp:coreProperties>
</file>