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097D411E" w:rsidR="00625270" w:rsidRPr="00964474" w:rsidRDefault="004830A7" w:rsidP="00964474">
      <w:pPr>
        <w:tabs>
          <w:tab w:val="left" w:pos="3240"/>
        </w:tabs>
        <w:jc w:val="center"/>
        <w:rPr>
          <w:rFonts w:ascii="Cambria" w:hAnsi="Cambria" w:cs="Arial"/>
          <w:b/>
          <w:i/>
        </w:rPr>
      </w:pPr>
      <w:r>
        <w:rPr>
          <w:rFonts w:ascii="Cambria" w:hAnsi="Cambria" w:cs="Arial"/>
          <w:b/>
          <w:i/>
        </w:rPr>
        <w:t>Lundi</w:t>
      </w:r>
      <w:r w:rsidR="00625270" w:rsidRPr="00964474">
        <w:rPr>
          <w:rFonts w:ascii="Cambria" w:hAnsi="Cambria" w:cs="Arial"/>
          <w:b/>
          <w:i/>
        </w:rPr>
        <w:t xml:space="preserve"> </w:t>
      </w:r>
      <w:r>
        <w:rPr>
          <w:rFonts w:ascii="Cambria" w:hAnsi="Cambria" w:cs="Arial"/>
          <w:b/>
          <w:i/>
        </w:rPr>
        <w:t>14</w:t>
      </w:r>
      <w:r w:rsidR="007E62B3" w:rsidRPr="00964474">
        <w:rPr>
          <w:rFonts w:ascii="Cambria" w:hAnsi="Cambria" w:cs="Arial"/>
          <w:b/>
          <w:i/>
        </w:rPr>
        <w:t xml:space="preserve"> </w:t>
      </w:r>
      <w:r w:rsidR="00EF1DB1">
        <w:rPr>
          <w:rFonts w:ascii="Cambria" w:hAnsi="Cambria" w:cs="Arial"/>
          <w:b/>
          <w:i/>
        </w:rPr>
        <w:t>juin</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238AF25B"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Faire de la Polynésie française un exemple de transition écologique du secteur primaire</w:t>
      </w:r>
    </w:p>
    <w:p w14:paraId="24805BFB"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Pour affronter les nombreux défis générés par la vulnérabilité de la Polynésie aux dérèglements environnementaux et à la dépendance aux importations, le Pays a acté l’ambition de faire de la Polynésie française un exemple de transition écologique de l’agriculture, de la pêche, de l’aquaculture et de la forêt concourant durablement à la souveraineté alimentaire polynésienne.</w:t>
      </w:r>
    </w:p>
    <w:p w14:paraId="6B55620E"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La démarche polynésienne s’inscrivant pleinement dans la politique conduite par la France et l’Union Européenne dans la région Pacifique, un dossier de financement complémentaire est sollicité auprès de l’Union européenne avec le soutien de principe des autorités de l’Etat, et est aujourd’hui en phase de négociation avec les instances européennes.</w:t>
      </w:r>
    </w:p>
    <w:p w14:paraId="459FA3EE"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Dans la perspective de la présidence française du Conseil de l’Union européenne au premier semestre 2022, une présentation de ce projet auprès des principaux acteurs européens investis dans la démarche est prévue début juillet, de façon à expliciter la politique de transition écologique du secteur primaire polynésien, et à arrêter les sources de ce nouveau financement.</w:t>
      </w:r>
    </w:p>
    <w:p w14:paraId="1860AA38" w14:textId="34418FF8" w:rsid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xml:space="preserve">Cette présentation de grande importance pour l’avancée du dossier sera menée sous l’égide du Président du Pays, Edouard </w:t>
      </w:r>
      <w:proofErr w:type="spellStart"/>
      <w:r w:rsidRPr="003E50B5">
        <w:rPr>
          <w:rFonts w:ascii="Cambria" w:hAnsi="Cambria"/>
          <w:lang w:eastAsia="fr-FR"/>
        </w:rPr>
        <w:t>Fritch</w:t>
      </w:r>
      <w:proofErr w:type="spellEnd"/>
      <w:r w:rsidRPr="003E50B5">
        <w:rPr>
          <w:rFonts w:ascii="Cambria" w:hAnsi="Cambria"/>
          <w:lang w:eastAsia="fr-FR"/>
        </w:rPr>
        <w:t xml:space="preserve">, et du président du groupe </w:t>
      </w:r>
      <w:proofErr w:type="spellStart"/>
      <w:r w:rsidRPr="003E50B5">
        <w:rPr>
          <w:rFonts w:ascii="Cambria" w:hAnsi="Cambria"/>
          <w:lang w:eastAsia="fr-FR"/>
        </w:rPr>
        <w:t>Renew</w:t>
      </w:r>
      <w:proofErr w:type="spellEnd"/>
      <w:r w:rsidRPr="003E50B5">
        <w:rPr>
          <w:rFonts w:ascii="Cambria" w:hAnsi="Cambria"/>
          <w:lang w:eastAsia="fr-FR"/>
        </w:rPr>
        <w:t xml:space="preserve"> au Parlement Européen et ancien Commissaire européen à l’agriculture, </w:t>
      </w:r>
      <w:proofErr w:type="spellStart"/>
      <w:r w:rsidRPr="003E50B5">
        <w:rPr>
          <w:rFonts w:ascii="Cambria" w:hAnsi="Cambria"/>
          <w:lang w:eastAsia="fr-FR"/>
        </w:rPr>
        <w:t>Dacian</w:t>
      </w:r>
      <w:proofErr w:type="spellEnd"/>
      <w:r w:rsidRPr="003E50B5">
        <w:rPr>
          <w:rFonts w:ascii="Cambria" w:hAnsi="Cambria"/>
          <w:lang w:eastAsia="fr-FR"/>
        </w:rPr>
        <w:t xml:space="preserve"> </w:t>
      </w:r>
      <w:proofErr w:type="spellStart"/>
      <w:r w:rsidRPr="003E50B5">
        <w:rPr>
          <w:rFonts w:ascii="Cambria" w:hAnsi="Cambria"/>
          <w:lang w:eastAsia="fr-FR"/>
        </w:rPr>
        <w:t>Cioloç</w:t>
      </w:r>
      <w:proofErr w:type="spellEnd"/>
      <w:r w:rsidRPr="003E50B5">
        <w:rPr>
          <w:rFonts w:ascii="Cambria" w:hAnsi="Cambria"/>
          <w:lang w:eastAsia="fr-FR"/>
        </w:rPr>
        <w:t xml:space="preserve">, réunion à laquelle devrait également participer la Commissaire Européenne aux Partenariats Internationaux, </w:t>
      </w:r>
      <w:proofErr w:type="spellStart"/>
      <w:r w:rsidRPr="003E50B5">
        <w:rPr>
          <w:rFonts w:ascii="Cambria" w:hAnsi="Cambria"/>
          <w:lang w:eastAsia="fr-FR"/>
        </w:rPr>
        <w:t>Jutta</w:t>
      </w:r>
      <w:proofErr w:type="spellEnd"/>
      <w:r w:rsidRPr="003E50B5">
        <w:rPr>
          <w:rFonts w:ascii="Cambria" w:hAnsi="Cambria"/>
          <w:lang w:eastAsia="fr-FR"/>
        </w:rPr>
        <w:t xml:space="preserve"> </w:t>
      </w:r>
      <w:proofErr w:type="spellStart"/>
      <w:r w:rsidRPr="003E50B5">
        <w:rPr>
          <w:rFonts w:ascii="Cambria" w:hAnsi="Cambria"/>
          <w:lang w:eastAsia="fr-FR"/>
        </w:rPr>
        <w:t>Urpilainen</w:t>
      </w:r>
      <w:proofErr w:type="spellEnd"/>
      <w:r w:rsidRPr="003E50B5">
        <w:rPr>
          <w:rFonts w:ascii="Cambria" w:hAnsi="Cambria"/>
          <w:lang w:eastAsia="fr-FR"/>
        </w:rPr>
        <w:t>.</w:t>
      </w:r>
    </w:p>
    <w:p w14:paraId="523CE6D3" w14:textId="77777777" w:rsidR="00875EF2" w:rsidRPr="003E50B5" w:rsidRDefault="00875EF2" w:rsidP="003E50B5">
      <w:pPr>
        <w:spacing w:before="100" w:beforeAutospacing="1" w:after="100" w:afterAutospacing="1"/>
        <w:jc w:val="both"/>
        <w:rPr>
          <w:rFonts w:ascii="Cambria" w:hAnsi="Cambria"/>
          <w:lang w:eastAsia="fr-FR"/>
        </w:rPr>
      </w:pPr>
    </w:p>
    <w:p w14:paraId="1961761C" w14:textId="575007A1"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b/>
          <w:bCs/>
          <w:lang w:eastAsia="fr-FR"/>
        </w:rPr>
        <w:t>Aide financière exceptionnelle de prise en charge de la patente des entreprises et sociétés ayant fait l'objet d'une interdiction d'accueil du public ou d’une interdiction ou d’une restriction d’activité en raison de la crise sanitaire de la Covid-19</w:t>
      </w:r>
    </w:p>
    <w:p w14:paraId="4AFCC811"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 xml:space="preserve">Le Conseil des ministres a approuvé un projet de loi du Pays qui institue un dispositif d’aide financière exceptionnelle de prise en charge de la patente au profit des entreprises </w:t>
      </w:r>
      <w:r w:rsidRPr="003E50B5">
        <w:rPr>
          <w:rFonts w:ascii="Cambria" w:hAnsi="Cambria"/>
          <w:lang w:eastAsia="fr-FR"/>
        </w:rPr>
        <w:lastRenderedPageBreak/>
        <w:t>qui ont fait l’objet d’une mesure d’interdiction d’accueil du public ou d’une interdiction ou d’une restriction d’activité d’au moins 45 jours consécutifs, durant la crise sanitaire de la covid-19 en 2020 et 2021.</w:t>
      </w:r>
    </w:p>
    <w:p w14:paraId="5E942158"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Ce dispositif sera ouvert aux entreprises individuelles et personnes morales de droit privé, immatriculées en Polynésie française et sous réserve des conditions suivantes :</w:t>
      </w:r>
    </w:p>
    <w:p w14:paraId="73D01FC2" w14:textId="77777777" w:rsidR="00875EF2" w:rsidRPr="003E50B5" w:rsidRDefault="00875EF2" w:rsidP="00875EF2">
      <w:pPr>
        <w:numPr>
          <w:ilvl w:val="0"/>
          <w:numId w:val="34"/>
        </w:numPr>
        <w:spacing w:before="100" w:beforeAutospacing="1" w:after="100" w:afterAutospacing="1"/>
        <w:jc w:val="both"/>
        <w:rPr>
          <w:rFonts w:ascii="Cambria" w:hAnsi="Cambria"/>
          <w:lang w:eastAsia="fr-FR"/>
        </w:rPr>
      </w:pPr>
      <w:proofErr w:type="gramStart"/>
      <w:r w:rsidRPr="003E50B5">
        <w:rPr>
          <w:rFonts w:ascii="Cambria" w:hAnsi="Cambria"/>
          <w:lang w:eastAsia="fr-FR"/>
        </w:rPr>
        <w:t>avoir</w:t>
      </w:r>
      <w:proofErr w:type="gramEnd"/>
      <w:r w:rsidRPr="003E50B5">
        <w:rPr>
          <w:rFonts w:ascii="Cambria" w:hAnsi="Cambria"/>
          <w:lang w:eastAsia="fr-FR"/>
        </w:rPr>
        <w:t xml:space="preserve"> fait l’objet d’une interdiction d’accueil du public ou d’une interdiction ou d’une restriction de son activité en application d’une mesure réglementaire de restriction de lutte contre la propagation du covid-19 pour une durée de 45 jours consécutifs ;</w:t>
      </w:r>
    </w:p>
    <w:p w14:paraId="125F39CF" w14:textId="77777777" w:rsidR="00875EF2" w:rsidRPr="003E50B5" w:rsidRDefault="00875EF2" w:rsidP="00875EF2">
      <w:pPr>
        <w:numPr>
          <w:ilvl w:val="0"/>
          <w:numId w:val="34"/>
        </w:numPr>
        <w:spacing w:before="100" w:beforeAutospacing="1" w:after="100" w:afterAutospacing="1"/>
        <w:jc w:val="both"/>
        <w:rPr>
          <w:rFonts w:ascii="Cambria" w:hAnsi="Cambria"/>
          <w:lang w:eastAsia="fr-FR"/>
        </w:rPr>
      </w:pPr>
      <w:proofErr w:type="gramStart"/>
      <w:r w:rsidRPr="003E50B5">
        <w:rPr>
          <w:rFonts w:ascii="Cambria" w:hAnsi="Cambria"/>
          <w:lang w:eastAsia="fr-FR"/>
        </w:rPr>
        <w:t>avoir</w:t>
      </w:r>
      <w:proofErr w:type="gramEnd"/>
      <w:r w:rsidRPr="003E50B5">
        <w:rPr>
          <w:rFonts w:ascii="Cambria" w:hAnsi="Cambria"/>
          <w:lang w:eastAsia="fr-FR"/>
        </w:rPr>
        <w:t xml:space="preserve"> subi, l’année pour laquelle l’aide est sollicitée, une perte du chiffre d’affaires d’au moins 30% par rapport à l’exercice 2019 ;</w:t>
      </w:r>
    </w:p>
    <w:p w14:paraId="6A397611" w14:textId="77777777" w:rsidR="00875EF2" w:rsidRPr="003E50B5" w:rsidRDefault="00875EF2" w:rsidP="00875EF2">
      <w:pPr>
        <w:numPr>
          <w:ilvl w:val="0"/>
          <w:numId w:val="34"/>
        </w:numPr>
        <w:spacing w:before="100" w:beforeAutospacing="1" w:after="100" w:afterAutospacing="1"/>
        <w:jc w:val="both"/>
        <w:rPr>
          <w:rFonts w:ascii="Cambria" w:hAnsi="Cambria"/>
          <w:lang w:eastAsia="fr-FR"/>
        </w:rPr>
      </w:pPr>
      <w:proofErr w:type="gramStart"/>
      <w:r w:rsidRPr="003E50B5">
        <w:rPr>
          <w:rFonts w:ascii="Cambria" w:hAnsi="Cambria"/>
          <w:lang w:eastAsia="fr-FR"/>
        </w:rPr>
        <w:t>avoir</w:t>
      </w:r>
      <w:proofErr w:type="gramEnd"/>
      <w:r w:rsidRPr="003E50B5">
        <w:rPr>
          <w:rFonts w:ascii="Cambria" w:hAnsi="Cambria"/>
          <w:lang w:eastAsia="fr-FR"/>
        </w:rPr>
        <w:t xml:space="preserve"> acquitté une contribution des patentes au titre de l’année pour laquelle l’aide est sollicitée.</w:t>
      </w:r>
    </w:p>
    <w:p w14:paraId="39734909"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b/>
          <w:bCs/>
          <w:lang w:eastAsia="fr-FR"/>
        </w:rPr>
        <w:t> </w:t>
      </w:r>
    </w:p>
    <w:p w14:paraId="16C5B677"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b/>
          <w:bCs/>
          <w:lang w:eastAsia="fr-FR"/>
        </w:rPr>
        <w:t>Modernisation du cadre applicable aux relations interentreprises</w:t>
      </w:r>
    </w:p>
    <w:p w14:paraId="39F59EB1"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Depuis 2015, le livre IV du code de la concurrence comporte des dispositions de nature à garantir la loyauté et la transparence des relations commerciales. Ces dispositions encadrent ainsi les délais de paiement, la facturation, la coopération commerciale et interdisent certains abus dans les relations commerciales.</w:t>
      </w:r>
    </w:p>
    <w:p w14:paraId="1ED5AD44"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Le Conseil des ministres a validé la transmission à l’Assemblée de la Polynésie française, après avis du Conseil économique, social, environnemental et culturel, du projet de loi du Pays visant d’une part à actualiser ces dispositions, afin de les adapter aux nouveaux abus constatés lors des enquêtes et d’assurer une meilleure protection des entreprises les plus fragiles, et d’autre part à les transférer dans le livre IV du code de commerce.</w:t>
      </w:r>
    </w:p>
    <w:p w14:paraId="0664CFB1"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Ce projet de loi du Pays prévoit de moderniser et d’adapter, au contexte polynésien, le cadre applicable aux relations entre fournisseurs et distributeurs de la grande distribution alimentaire, d’autoriser les remises sur les produits de première nécessité dès lors qu’elles bénéficient intégralement et directement aux consommateurs et de réduire les délais de paiement des produits locaux issus de la première transformation des produits agricoles. Il prend également acte de la dépénalisation de certaines pratiques en métropole, notamment concernant la facturation et prévoit d’introduire, en conséquence, des sanctions administratives en remplacement des sanctions pénales.</w:t>
      </w:r>
    </w:p>
    <w:p w14:paraId="64805F70"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Il propose également de simplifier les modes de facturation, en introduisant la possibilité, dans certains cas, de faire des factures récapitulatives.</w:t>
      </w:r>
    </w:p>
    <w:p w14:paraId="2BDA36FD" w14:textId="77777777" w:rsidR="00875EF2" w:rsidRPr="003E50B5" w:rsidRDefault="00875EF2" w:rsidP="00875EF2">
      <w:pPr>
        <w:spacing w:before="100" w:beforeAutospacing="1" w:after="100" w:afterAutospacing="1"/>
        <w:jc w:val="both"/>
        <w:rPr>
          <w:rFonts w:ascii="Cambria" w:hAnsi="Cambria"/>
          <w:lang w:eastAsia="fr-FR"/>
        </w:rPr>
      </w:pPr>
      <w:r w:rsidRPr="003E50B5">
        <w:rPr>
          <w:rFonts w:ascii="Cambria" w:hAnsi="Cambria"/>
          <w:lang w:eastAsia="fr-FR"/>
        </w:rPr>
        <w:t>L’ensemble de ces évolutions visent à préserver les entreprises contre les abus de leurs partenaires commerciaux en instaurant des règles claires et adaptées à l’économie polynésienne.</w:t>
      </w:r>
    </w:p>
    <w:p w14:paraId="4F6EE821" w14:textId="617B6EA1" w:rsidR="003E50B5" w:rsidRPr="003E50B5" w:rsidRDefault="00875EF2" w:rsidP="003E50B5">
      <w:pPr>
        <w:spacing w:before="100" w:beforeAutospacing="1" w:after="100" w:afterAutospacing="1"/>
        <w:jc w:val="both"/>
        <w:rPr>
          <w:rFonts w:ascii="Cambria" w:hAnsi="Cambria"/>
          <w:lang w:eastAsia="fr-FR"/>
        </w:rPr>
      </w:pPr>
      <w:r w:rsidRPr="003E50B5">
        <w:rPr>
          <w:rFonts w:ascii="Cambria" w:hAnsi="Cambria"/>
          <w:lang w:eastAsia="fr-FR"/>
        </w:rPr>
        <w:t> </w:t>
      </w:r>
    </w:p>
    <w:p w14:paraId="5AD6425E"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lastRenderedPageBreak/>
        <w:t>Soutien au fonctionnement de l’association « Agence Immobilière Sociale de Polynésie française ‟</w:t>
      </w:r>
      <w:proofErr w:type="spellStart"/>
      <w:r w:rsidRPr="003E50B5">
        <w:rPr>
          <w:rFonts w:ascii="Cambria" w:hAnsi="Cambria"/>
          <w:b/>
          <w:bCs/>
          <w:lang w:eastAsia="fr-FR"/>
        </w:rPr>
        <w:t>Rahu</w:t>
      </w:r>
      <w:proofErr w:type="spellEnd"/>
      <w:r w:rsidRPr="003E50B5">
        <w:rPr>
          <w:rFonts w:ascii="Cambria" w:hAnsi="Cambria"/>
          <w:b/>
          <w:bCs/>
          <w:lang w:eastAsia="fr-FR"/>
        </w:rPr>
        <w:t xml:space="preserve"> Ora”</w:t>
      </w:r>
    </w:p>
    <w:p w14:paraId="68BCF3F3"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xml:space="preserve">Le ministre du Logement et de l’aménagement du territoire, en charge des transports interinsulaires, a présenté en Conseil des ministres, un arrêté portant octroi d’une subvention d’accompagnement en faveur de l’association « Agence Immobilière Sociale de Polynésie française </w:t>
      </w:r>
      <w:proofErr w:type="spellStart"/>
      <w:r w:rsidRPr="003E50B5">
        <w:rPr>
          <w:rFonts w:ascii="Cambria" w:hAnsi="Cambria"/>
          <w:lang w:eastAsia="fr-FR"/>
        </w:rPr>
        <w:t>Rahu</w:t>
      </w:r>
      <w:proofErr w:type="spellEnd"/>
      <w:r w:rsidRPr="003E50B5">
        <w:rPr>
          <w:rFonts w:ascii="Cambria" w:hAnsi="Cambria"/>
          <w:lang w:eastAsia="fr-FR"/>
        </w:rPr>
        <w:t xml:space="preserve"> Ora ».</w:t>
      </w:r>
    </w:p>
    <w:p w14:paraId="33E7AF62"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En application de la convention de partenariat du 20 avril 2018, le Pays s’est engagé à soutenir le fonctionnement de l’association durant quatre années. Le Conseil des ministres a validé l’attribution d’une subvention de fonctionnement en faveur de « </w:t>
      </w:r>
      <w:proofErr w:type="spellStart"/>
      <w:r w:rsidRPr="003E50B5">
        <w:rPr>
          <w:rFonts w:ascii="Cambria" w:hAnsi="Cambria"/>
          <w:lang w:eastAsia="fr-FR"/>
        </w:rPr>
        <w:t>Rahu</w:t>
      </w:r>
      <w:proofErr w:type="spellEnd"/>
      <w:r w:rsidRPr="003E50B5">
        <w:rPr>
          <w:rFonts w:ascii="Cambria" w:hAnsi="Cambria"/>
          <w:lang w:eastAsia="fr-FR"/>
        </w:rPr>
        <w:t xml:space="preserve"> Ora » (AISPF), au titre de son programme 2021, pour un montant de 300 millions </w:t>
      </w:r>
      <w:proofErr w:type="spellStart"/>
      <w:r w:rsidRPr="003E50B5">
        <w:rPr>
          <w:rFonts w:ascii="Cambria" w:hAnsi="Cambria"/>
          <w:lang w:eastAsia="fr-FR"/>
        </w:rPr>
        <w:t>Fcfp</w:t>
      </w:r>
      <w:proofErr w:type="spellEnd"/>
      <w:r w:rsidRPr="003E50B5">
        <w:rPr>
          <w:rFonts w:ascii="Cambria" w:hAnsi="Cambria"/>
          <w:lang w:eastAsia="fr-FR"/>
        </w:rPr>
        <w:t>.</w:t>
      </w:r>
    </w:p>
    <w:p w14:paraId="5A4010FA"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xml:space="preserve">Cette subvention vise à apporter une solution de logement pour 175 familles situées en zone urbaine ou sur la zone rurale de Tahiti et à Moorea. Il s’agit aussi de compléter l’offre de logements à destination des étudiants, l’association serait en mesure de proposer un parc de 50 logements aux étudiants boursiers </w:t>
      </w:r>
      <w:proofErr w:type="spellStart"/>
      <w:r w:rsidRPr="003E50B5">
        <w:rPr>
          <w:rFonts w:ascii="Cambria" w:hAnsi="Cambria"/>
          <w:lang w:eastAsia="fr-FR"/>
        </w:rPr>
        <w:t>post-bac</w:t>
      </w:r>
      <w:proofErr w:type="spellEnd"/>
      <w:r w:rsidRPr="003E50B5">
        <w:rPr>
          <w:rFonts w:ascii="Cambria" w:hAnsi="Cambria"/>
          <w:lang w:eastAsia="fr-FR"/>
        </w:rPr>
        <w:t xml:space="preserve"> toutes filières confondues effectuant des études supérieures (Licence – BTS – école de sage-femme – école d’infirmière…) sur une période de 10 mois, à compter de la rentrée universitaire.</w:t>
      </w:r>
    </w:p>
    <w:p w14:paraId="66D82082"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Enfin, à compter de cette année, l’association, ayant constaté la proportion importante de jeunes célibataires sans enfants, qui peinent à trouver un logement en raison de leur parcours professionnel (soit en cours d’insertion professionnelle, soit nouvellement salariés), proposera à la location annuelle un parc de 50 logements.</w:t>
      </w:r>
    </w:p>
    <w:p w14:paraId="0C640554"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Il est rappelé que l’ensemble du personnel « </w:t>
      </w:r>
      <w:proofErr w:type="spellStart"/>
      <w:r w:rsidRPr="003E50B5">
        <w:rPr>
          <w:rFonts w:ascii="Cambria" w:hAnsi="Cambria"/>
          <w:lang w:eastAsia="fr-FR"/>
        </w:rPr>
        <w:t>Rahu</w:t>
      </w:r>
      <w:proofErr w:type="spellEnd"/>
      <w:r w:rsidRPr="003E50B5">
        <w:rPr>
          <w:rFonts w:ascii="Cambria" w:hAnsi="Cambria"/>
          <w:lang w:eastAsia="fr-FR"/>
        </w:rPr>
        <w:t xml:space="preserve"> Ora » maintient le suivi social des bénéficiaires tout en respectant les gestes barrières et les mesures de distanciation sociale liées à la lutte contre la propagation du Covid-19.</w:t>
      </w:r>
    </w:p>
    <w:p w14:paraId="742D22C8"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w:t>
      </w:r>
    </w:p>
    <w:p w14:paraId="029C4680"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 xml:space="preserve">Prolongation du délai de réalisation de l'opération </w:t>
      </w:r>
      <w:proofErr w:type="spellStart"/>
      <w:proofErr w:type="gramStart"/>
      <w:r w:rsidRPr="003E50B5">
        <w:rPr>
          <w:rFonts w:ascii="Cambria" w:hAnsi="Cambria"/>
          <w:b/>
          <w:bCs/>
          <w:lang w:eastAsia="fr-FR"/>
        </w:rPr>
        <w:t>Atihiva</w:t>
      </w:r>
      <w:proofErr w:type="spellEnd"/>
      <w:r w:rsidRPr="003E50B5">
        <w:rPr>
          <w:rFonts w:ascii="Cambria" w:hAnsi="Cambria"/>
          <w:b/>
          <w:bCs/>
          <w:lang w:eastAsia="fr-FR"/>
        </w:rPr>
        <w:t>:</w:t>
      </w:r>
      <w:proofErr w:type="gramEnd"/>
      <w:r w:rsidRPr="003E50B5">
        <w:rPr>
          <w:rFonts w:ascii="Cambria" w:hAnsi="Cambria"/>
          <w:b/>
          <w:bCs/>
          <w:lang w:eastAsia="fr-FR"/>
        </w:rPr>
        <w:t xml:space="preserve"> forage adduction d’eau potable, études et travaux</w:t>
      </w:r>
    </w:p>
    <w:p w14:paraId="40494915"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ministre du Logement a présenté, en Conseil des ministres, une proposition de prolongation du délai de l'opération « </w:t>
      </w:r>
      <w:proofErr w:type="spellStart"/>
      <w:r w:rsidRPr="003E50B5">
        <w:rPr>
          <w:rFonts w:ascii="Cambria" w:hAnsi="Cambria"/>
          <w:lang w:eastAsia="fr-FR"/>
        </w:rPr>
        <w:t>Atihiva</w:t>
      </w:r>
      <w:proofErr w:type="spellEnd"/>
      <w:r w:rsidRPr="003E50B5">
        <w:rPr>
          <w:rFonts w:ascii="Cambria" w:hAnsi="Cambria"/>
          <w:lang w:eastAsia="fr-FR"/>
        </w:rPr>
        <w:t xml:space="preserve"> : Forage adduction d’eau potable, Etudes et travaux ». Cette opération sera située à </w:t>
      </w:r>
      <w:proofErr w:type="spellStart"/>
      <w:r w:rsidRPr="003E50B5">
        <w:rPr>
          <w:rFonts w:ascii="Cambria" w:hAnsi="Cambria"/>
          <w:lang w:eastAsia="fr-FR"/>
        </w:rPr>
        <w:t>Afaahiti</w:t>
      </w:r>
      <w:proofErr w:type="spellEnd"/>
      <w:r w:rsidRPr="003E50B5">
        <w:rPr>
          <w:rFonts w:ascii="Cambria" w:hAnsi="Cambria"/>
          <w:lang w:eastAsia="fr-FR"/>
        </w:rPr>
        <w:t>, sur la commune de Taiarapu-Est.</w:t>
      </w:r>
    </w:p>
    <w:p w14:paraId="56858764"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Cette opération vise à mener les études et les travaux nécessaires à la réalisation d’un forage d’exploitation avec mise en place d’un réservoir et d’une station de potabilisation afin de fournir en eau potable les 100 futurs logements. Ce forage est réalisé sur une parcelle dont l’OPH (Office polynésien de l’habitat) est déjà propriétaire.</w:t>
      </w:r>
    </w:p>
    <w:p w14:paraId="5BA7F339"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xml:space="preserve">Ce démarrage ayant eu lieu le 25 juillet 2018, la date de limite prévue de réalisation de cette opération a été de facto fixée au 25 juillet 2020 et prolongée au 25 juillet 2021 par un arrêté du Conseil des ministres du 30 juillet 2020. Mais après presque 2 ans d’études et de démarches administratives, les travaux ont pu démarrer en novembre 2019. Le chantier a rencontré des difficultés techniques liées au matériel de forage, cumulées aux difficultés d’acheminement des pièces pendant la crise sanitaire de 2020. L’entreprise a </w:t>
      </w:r>
      <w:r w:rsidRPr="003E50B5">
        <w:rPr>
          <w:rFonts w:ascii="Cambria" w:hAnsi="Cambria"/>
          <w:lang w:eastAsia="fr-FR"/>
        </w:rPr>
        <w:lastRenderedPageBreak/>
        <w:t>donc pris du retard dans l’exécution des travaux du forage de reconnaissance par rapport au calendrier prévisionnel et le chantier s’est terminé début septembre 2020.</w:t>
      </w:r>
    </w:p>
    <w:p w14:paraId="552AC120"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Les débits et les analyses de qualité d’eau sont à présent connus et les scénarii pour l’équipement définitif du forage ont été étudiés par l’OPH (coûts d’investissement et d’exploitation, impact sur les loyers d’équilibres). Le dossier administratif de demande d’occupation du domaine public fluvial a été déposé le 19 janvier 2021. En parallèle, la demande de permis de construire des 40 premiers logements, intégrant le local technique et le réservoir d’eau (déposée le 2 octobre 2020) est toujours en cours d’instruction.</w:t>
      </w:r>
    </w:p>
    <w:p w14:paraId="643FC649" w14:textId="77777777" w:rsidR="003E50B5" w:rsidRPr="003E50B5" w:rsidRDefault="003E50B5" w:rsidP="003E50B5">
      <w:pPr>
        <w:spacing w:before="100" w:beforeAutospacing="1" w:after="100" w:afterAutospacing="1"/>
        <w:jc w:val="both"/>
        <w:rPr>
          <w:rFonts w:ascii="Cambria" w:hAnsi="Cambria"/>
          <w:lang w:eastAsia="fr-FR"/>
        </w:rPr>
      </w:pPr>
      <w:proofErr w:type="gramStart"/>
      <w:r w:rsidRPr="003E50B5">
        <w:rPr>
          <w:rFonts w:ascii="Cambria" w:hAnsi="Cambria"/>
          <w:lang w:eastAsia="fr-FR"/>
        </w:rPr>
        <w:t>Suite à</w:t>
      </w:r>
      <w:proofErr w:type="gramEnd"/>
      <w:r w:rsidRPr="003E50B5">
        <w:rPr>
          <w:rFonts w:ascii="Cambria" w:hAnsi="Cambria"/>
          <w:lang w:eastAsia="fr-FR"/>
        </w:rPr>
        <w:t xml:space="preserve"> la procédure d’appel d’offres lancée le 9 avril dernier, les travaux pourraient démarrer au début du deuxième semestre, après obtention des autorisations administratives, et ce pour une durée de 9 mois. Cependant, compte-tenu de la crise sanitaire qui a des répercussions sur le transport de marchandises, le délai d’approvisionnement des équipements risque d’être perturbé.</w:t>
      </w:r>
    </w:p>
    <w:p w14:paraId="7DA6BA4E" w14:textId="19FBEB99"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xml:space="preserve">Pour ces motifs, le Conseil des ministres a donc décidé d’accorder </w:t>
      </w:r>
      <w:proofErr w:type="gramStart"/>
      <w:r w:rsidRPr="003E50B5">
        <w:rPr>
          <w:rFonts w:ascii="Cambria" w:hAnsi="Cambria"/>
          <w:lang w:eastAsia="fr-FR"/>
        </w:rPr>
        <w:t>une prolongation de 12 mois</w:t>
      </w:r>
      <w:r w:rsidR="00D61290">
        <w:rPr>
          <w:rFonts w:ascii="Cambria" w:hAnsi="Cambria"/>
          <w:lang w:eastAsia="fr-FR"/>
        </w:rPr>
        <w:t xml:space="preserve"> </w:t>
      </w:r>
      <w:r w:rsidRPr="003E50B5">
        <w:rPr>
          <w:rFonts w:ascii="Cambria" w:hAnsi="Cambria"/>
          <w:lang w:eastAsia="fr-FR"/>
        </w:rPr>
        <w:t>supplémentaires</w:t>
      </w:r>
      <w:proofErr w:type="gramEnd"/>
      <w:r w:rsidRPr="003E50B5">
        <w:rPr>
          <w:rFonts w:ascii="Cambria" w:hAnsi="Cambria"/>
          <w:lang w:eastAsia="fr-FR"/>
        </w:rPr>
        <w:t xml:space="preserve"> du délai prévu dans l’arrêté du Conseil des ministres du 21 décembre 2017, en le portant au 25 juillet 2022. L’OPH sera donc en mesure d’achever cette opération dans ce délai. Le financement de cette opération est, quant à lui, assuré à 100% par le Pays, soit une participation de 70 millions </w:t>
      </w:r>
      <w:proofErr w:type="spellStart"/>
      <w:r w:rsidRPr="003E50B5">
        <w:rPr>
          <w:rFonts w:ascii="Cambria" w:hAnsi="Cambria"/>
          <w:lang w:eastAsia="fr-FR"/>
        </w:rPr>
        <w:t>Fcfp</w:t>
      </w:r>
      <w:proofErr w:type="spellEnd"/>
      <w:r w:rsidRPr="003E50B5">
        <w:rPr>
          <w:rFonts w:ascii="Cambria" w:hAnsi="Cambria"/>
          <w:lang w:eastAsia="fr-FR"/>
        </w:rPr>
        <w:t>.</w:t>
      </w:r>
    </w:p>
    <w:p w14:paraId="00462FBC"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 </w:t>
      </w:r>
    </w:p>
    <w:p w14:paraId="1FA1FA45"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Homologation des prix du billet d’avion dans la zone de libre concurrence dans le secteur du transport aérien interinsulaire à Air Tahiti</w:t>
      </w:r>
    </w:p>
    <w:p w14:paraId="240ADAAC"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Par courrier, la société Air Tahiti, transporteur aérien public, a sollicité la Direction de l’aviation civile de Polynésie française (DAC-Pf) pour une homologation des prix du billet d’avion de ses vols réguliers dans la zone de libre concurrence du transport aérien interinsulaire pour chaque segment de lignes aériennes conformément à la délibération de l’Assemblée du 30 juillet 2020.</w:t>
      </w:r>
    </w:p>
    <w:p w14:paraId="4F73C3C9"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Air Tahiti prévoit de desservir l’ensemble du réseau de libre concurrence, soit 12 aérodromes concernant les quatre archipels, à partir d’aéronefs de type ATR 72-600 dotés d’une capacité théorique de 70 sièges offerts et d’ATR 42-600 dotés d’une capacité théorique de 48 sièges offerts.</w:t>
      </w:r>
    </w:p>
    <w:p w14:paraId="272AE4EA"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trafic des passagers dans cette zone de libre concurrence est encore en dessous du niveau statistique de 2019, de l’ordre de 30 % sur le second semestre 2019, du fait de la crise sanitaire. Air Tahiti accuse donc encore, comme en 2020, un résultat déficitaire d’exploitation qui ne l’autorise pas à faire un effort d’absorption de la CSCTAI (contribution de solidarité de la continuité territoriale du transport aérien interinsulaire) dans son prix actuel.</w:t>
      </w:r>
    </w:p>
    <w:p w14:paraId="339CB841"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Après une vérification du non-dérapage des prix pratiqués, le Conseil des ministres a approuvé l’homologation des tarifs maximaux pour les résidents de la Polynésie française pour cette saison IATA (Association du transport aérien international) été. Une stabilité des tarifs hors taxes a été validée.</w:t>
      </w:r>
    </w:p>
    <w:p w14:paraId="1E5567E3"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lastRenderedPageBreak/>
        <w:t> </w:t>
      </w:r>
    </w:p>
    <w:p w14:paraId="4D7F33E0"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Délégation de service public du transport aérien régulier interinsulaire de 32 îles de la Polynésie française</w:t>
      </w:r>
    </w:p>
    <w:p w14:paraId="23F5EBFF" w14:textId="700D86D6"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Par un arrêté en date du 25 février 2021, le Pays a approuvé le principe de la délégation de service public (DSP) du transport aérien interinsulaire. Conformément aux dispositions de la loi du Pays du 7 décembre 2009, un dossier de consultation a été présenté, composé des éléments suivants</w:t>
      </w:r>
      <w:r w:rsidR="00D61290">
        <w:rPr>
          <w:rFonts w:ascii="Cambria" w:hAnsi="Cambria"/>
          <w:lang w:eastAsia="fr-FR"/>
        </w:rPr>
        <w:t xml:space="preserve"> </w:t>
      </w:r>
      <w:r w:rsidRPr="003E50B5">
        <w:rPr>
          <w:rFonts w:ascii="Cambria" w:hAnsi="Cambria"/>
          <w:lang w:eastAsia="fr-FR"/>
        </w:rPr>
        <w:t>: un règlement de consultation, un avis d’appel d’offres à candidatures, un cahier des charges et un projet de contrat pour le lot unique.</w:t>
      </w:r>
    </w:p>
    <w:p w14:paraId="2C6B6463"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L’activité de transport aérien interinsulaire en Polynésie française constitue une activité de service public. Ce dernier a été consacré en tant que tel par l’Assemblée de la Polynésie française dans sa délibération, habilitant le Président à signer le projet de convention pour le développement harmonieux du transport aérien intérieur dont le préambule rappelait sa mission de service public.</w:t>
      </w:r>
    </w:p>
    <w:p w14:paraId="2EF70022"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L’économie générale du contrat recouvre les dispositions suivantes :</w:t>
      </w:r>
    </w:p>
    <w:p w14:paraId="54CCEDD8"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i/>
          <w:iCs/>
          <w:u w:val="single"/>
          <w:lang w:eastAsia="fr-FR"/>
        </w:rPr>
        <w:t>Objet du service délégué</w:t>
      </w:r>
    </w:p>
    <w:p w14:paraId="54CD5AF9"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projet de contrat de la Délégation de service public du transport aérien interinsulaire a pour objet de confier au délégataire l’exclusivité de l’exploitation du service public de transport aérien au départ et à destination des 32 aérodromes de désenclavement tels que définit dans la délibération de l’Assemblée de la Polynésie du 30 juillet 2020.</w:t>
      </w:r>
    </w:p>
    <w:p w14:paraId="6527E4B0"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La date de prise d’effet de la délégation correspond à la date d’exploitation qui est établie au 1</w:t>
      </w:r>
      <w:r w:rsidRPr="003E50B5">
        <w:rPr>
          <w:rFonts w:ascii="Cambria" w:hAnsi="Cambria"/>
          <w:vertAlign w:val="superscript"/>
          <w:lang w:eastAsia="fr-FR"/>
        </w:rPr>
        <w:t>er</w:t>
      </w:r>
      <w:r w:rsidRPr="003E50B5">
        <w:rPr>
          <w:rFonts w:ascii="Cambria" w:hAnsi="Cambria"/>
          <w:lang w:eastAsia="fr-FR"/>
        </w:rPr>
        <w:t xml:space="preserve"> juillet 2021 pour une durée de 5 ans.</w:t>
      </w:r>
    </w:p>
    <w:p w14:paraId="467D12CC"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i/>
          <w:iCs/>
          <w:u w:val="single"/>
          <w:lang w:eastAsia="fr-FR"/>
        </w:rPr>
        <w:t>Continuité du service public</w:t>
      </w:r>
    </w:p>
    <w:p w14:paraId="4746F44D"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délégataire est tenu d’assurer la continuité du service public de transport aérien régulier, sauf en cas de force majeure ou de cause exonératoire. Ces deux cas sont précisés dans des articles ad-hoc du contrat.</w:t>
      </w:r>
    </w:p>
    <w:p w14:paraId="0816FFCC"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i/>
          <w:iCs/>
          <w:u w:val="single"/>
          <w:lang w:eastAsia="fr-FR"/>
        </w:rPr>
        <w:t>Ressources humaines affectés à la délégation</w:t>
      </w:r>
    </w:p>
    <w:p w14:paraId="755FF612"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tableau suivant donne l’affectation des personnels nécessaires à la desserte régulière des 32 aérodromes de désenclavement :</w:t>
      </w:r>
    </w:p>
    <w:tbl>
      <w:tblPr>
        <w:tblW w:w="0" w:type="auto"/>
        <w:jc w:val="center"/>
        <w:tblLook w:val="04A0" w:firstRow="1" w:lastRow="0" w:firstColumn="1" w:lastColumn="0" w:noHBand="0" w:noVBand="1"/>
      </w:tblPr>
      <w:tblGrid>
        <w:gridCol w:w="3061"/>
        <w:gridCol w:w="1134"/>
        <w:gridCol w:w="1134"/>
      </w:tblGrid>
      <w:tr w:rsidR="00341FC0" w:rsidRPr="001031A5" w14:paraId="16569AF9" w14:textId="77777777" w:rsidTr="00F63FC8">
        <w:trPr>
          <w:trHeight w:val="397"/>
          <w:jc w:val="center"/>
        </w:trPr>
        <w:tc>
          <w:tcPr>
            <w:tcW w:w="3061" w:type="dxa"/>
            <w:tcBorders>
              <w:top w:val="single" w:sz="4" w:space="0" w:color="auto"/>
              <w:bottom w:val="single" w:sz="4" w:space="0" w:color="auto"/>
            </w:tcBorders>
            <w:shd w:val="clear" w:color="auto" w:fill="auto"/>
            <w:vAlign w:val="center"/>
          </w:tcPr>
          <w:p w14:paraId="2B80FEC6" w14:textId="77777777"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Affectation</w:t>
            </w:r>
          </w:p>
        </w:tc>
        <w:tc>
          <w:tcPr>
            <w:tcW w:w="1134" w:type="dxa"/>
            <w:tcBorders>
              <w:top w:val="single" w:sz="4" w:space="0" w:color="auto"/>
              <w:bottom w:val="single" w:sz="4" w:space="0" w:color="auto"/>
            </w:tcBorders>
            <w:shd w:val="clear" w:color="auto" w:fill="auto"/>
            <w:vAlign w:val="center"/>
          </w:tcPr>
          <w:p w14:paraId="0EBACACC" w14:textId="06D82602"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EPT</w:t>
            </w:r>
            <w:r w:rsidR="000B3D14">
              <w:rPr>
                <w:rFonts w:ascii="Cambria" w:eastAsia="Calibri" w:hAnsi="Cambria"/>
                <w:b/>
                <w:lang w:eastAsia="zh-CN"/>
              </w:rPr>
              <w:t>*</w:t>
            </w:r>
          </w:p>
        </w:tc>
        <w:tc>
          <w:tcPr>
            <w:tcW w:w="1134" w:type="dxa"/>
            <w:tcBorders>
              <w:top w:val="single" w:sz="4" w:space="0" w:color="auto"/>
              <w:bottom w:val="single" w:sz="4" w:space="0" w:color="auto"/>
            </w:tcBorders>
            <w:shd w:val="clear" w:color="auto" w:fill="auto"/>
            <w:vAlign w:val="center"/>
          </w:tcPr>
          <w:p w14:paraId="2F02B7EC" w14:textId="0F2A7CFB"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Effectif</w:t>
            </w:r>
            <w:r w:rsidR="000B3D14">
              <w:rPr>
                <w:rFonts w:ascii="Cambria" w:eastAsia="Calibri" w:hAnsi="Cambria"/>
                <w:b/>
                <w:lang w:eastAsia="zh-CN"/>
              </w:rPr>
              <w:t>s</w:t>
            </w:r>
          </w:p>
        </w:tc>
      </w:tr>
      <w:tr w:rsidR="00341FC0" w:rsidRPr="001031A5" w14:paraId="7AEC3C79" w14:textId="77777777" w:rsidTr="00F63FC8">
        <w:trPr>
          <w:jc w:val="center"/>
        </w:trPr>
        <w:tc>
          <w:tcPr>
            <w:tcW w:w="3061" w:type="dxa"/>
            <w:tcBorders>
              <w:top w:val="single" w:sz="4" w:space="0" w:color="auto"/>
            </w:tcBorders>
            <w:shd w:val="clear" w:color="auto" w:fill="auto"/>
            <w:vAlign w:val="center"/>
          </w:tcPr>
          <w:p w14:paraId="13840BD1"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Escales</w:t>
            </w:r>
          </w:p>
        </w:tc>
        <w:tc>
          <w:tcPr>
            <w:tcW w:w="1134" w:type="dxa"/>
            <w:tcBorders>
              <w:top w:val="single" w:sz="4" w:space="0" w:color="auto"/>
            </w:tcBorders>
            <w:shd w:val="clear" w:color="auto" w:fill="auto"/>
            <w:vAlign w:val="center"/>
          </w:tcPr>
          <w:p w14:paraId="4BC5FDBC"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75</w:t>
            </w:r>
          </w:p>
        </w:tc>
        <w:tc>
          <w:tcPr>
            <w:tcW w:w="1134" w:type="dxa"/>
            <w:tcBorders>
              <w:top w:val="single" w:sz="4" w:space="0" w:color="auto"/>
            </w:tcBorders>
            <w:shd w:val="clear" w:color="auto" w:fill="auto"/>
            <w:vAlign w:val="center"/>
          </w:tcPr>
          <w:p w14:paraId="05A3E09B"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264</w:t>
            </w:r>
          </w:p>
        </w:tc>
      </w:tr>
      <w:tr w:rsidR="00341FC0" w:rsidRPr="001031A5" w14:paraId="774FC272" w14:textId="77777777" w:rsidTr="00F63FC8">
        <w:trPr>
          <w:jc w:val="center"/>
        </w:trPr>
        <w:tc>
          <w:tcPr>
            <w:tcW w:w="3061" w:type="dxa"/>
            <w:shd w:val="clear" w:color="auto" w:fill="auto"/>
            <w:vAlign w:val="center"/>
          </w:tcPr>
          <w:p w14:paraId="53D8E791"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Opérations aériennes</w:t>
            </w:r>
          </w:p>
        </w:tc>
        <w:tc>
          <w:tcPr>
            <w:tcW w:w="1134" w:type="dxa"/>
            <w:shd w:val="clear" w:color="auto" w:fill="auto"/>
            <w:vAlign w:val="center"/>
          </w:tcPr>
          <w:p w14:paraId="43387806"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29</w:t>
            </w:r>
          </w:p>
        </w:tc>
        <w:tc>
          <w:tcPr>
            <w:tcW w:w="1134" w:type="dxa"/>
            <w:shd w:val="clear" w:color="auto" w:fill="auto"/>
            <w:vAlign w:val="center"/>
          </w:tcPr>
          <w:p w14:paraId="6861498E"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29</w:t>
            </w:r>
          </w:p>
        </w:tc>
      </w:tr>
      <w:tr w:rsidR="00341FC0" w:rsidRPr="001031A5" w14:paraId="7F6BACB0" w14:textId="77777777" w:rsidTr="00F63FC8">
        <w:trPr>
          <w:jc w:val="center"/>
        </w:trPr>
        <w:tc>
          <w:tcPr>
            <w:tcW w:w="3061" w:type="dxa"/>
            <w:shd w:val="clear" w:color="auto" w:fill="auto"/>
            <w:vAlign w:val="center"/>
          </w:tcPr>
          <w:p w14:paraId="49E384E7"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Maintenance</w:t>
            </w:r>
          </w:p>
        </w:tc>
        <w:tc>
          <w:tcPr>
            <w:tcW w:w="1134" w:type="dxa"/>
            <w:shd w:val="clear" w:color="auto" w:fill="auto"/>
            <w:vAlign w:val="center"/>
          </w:tcPr>
          <w:p w14:paraId="386E6491"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17</w:t>
            </w:r>
          </w:p>
        </w:tc>
        <w:tc>
          <w:tcPr>
            <w:tcW w:w="1134" w:type="dxa"/>
            <w:shd w:val="clear" w:color="auto" w:fill="auto"/>
            <w:vAlign w:val="center"/>
          </w:tcPr>
          <w:p w14:paraId="7E14CF8F"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17</w:t>
            </w:r>
          </w:p>
        </w:tc>
      </w:tr>
      <w:tr w:rsidR="00341FC0" w:rsidRPr="001031A5" w14:paraId="43BDD975" w14:textId="77777777" w:rsidTr="00F63FC8">
        <w:trPr>
          <w:jc w:val="center"/>
        </w:trPr>
        <w:tc>
          <w:tcPr>
            <w:tcW w:w="3061" w:type="dxa"/>
            <w:shd w:val="clear" w:color="auto" w:fill="auto"/>
            <w:vAlign w:val="center"/>
          </w:tcPr>
          <w:p w14:paraId="60CCD2FF" w14:textId="3139BD93"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 xml:space="preserve">Services support </w:t>
            </w:r>
          </w:p>
        </w:tc>
        <w:tc>
          <w:tcPr>
            <w:tcW w:w="1134" w:type="dxa"/>
            <w:shd w:val="clear" w:color="auto" w:fill="auto"/>
            <w:vAlign w:val="center"/>
          </w:tcPr>
          <w:p w14:paraId="2CC7729B"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24</w:t>
            </w:r>
          </w:p>
        </w:tc>
        <w:tc>
          <w:tcPr>
            <w:tcW w:w="1134" w:type="dxa"/>
            <w:shd w:val="clear" w:color="auto" w:fill="auto"/>
            <w:vAlign w:val="center"/>
          </w:tcPr>
          <w:p w14:paraId="7A846259" w14:textId="77777777" w:rsidR="00341FC0" w:rsidRPr="001031A5" w:rsidRDefault="00341FC0" w:rsidP="00F63FC8">
            <w:pPr>
              <w:jc w:val="both"/>
              <w:rPr>
                <w:rFonts w:ascii="Cambria" w:eastAsia="Calibri" w:hAnsi="Cambria"/>
                <w:lang w:eastAsia="zh-CN"/>
              </w:rPr>
            </w:pPr>
            <w:r w:rsidRPr="001031A5">
              <w:rPr>
                <w:rFonts w:ascii="Cambria" w:eastAsia="Calibri" w:hAnsi="Cambria"/>
                <w:lang w:eastAsia="zh-CN"/>
              </w:rPr>
              <w:t>31</w:t>
            </w:r>
          </w:p>
        </w:tc>
      </w:tr>
      <w:tr w:rsidR="00341FC0" w:rsidRPr="001031A5" w14:paraId="1196001A" w14:textId="77777777" w:rsidTr="00F63FC8">
        <w:trPr>
          <w:trHeight w:val="397"/>
          <w:jc w:val="center"/>
        </w:trPr>
        <w:tc>
          <w:tcPr>
            <w:tcW w:w="3061" w:type="dxa"/>
            <w:tcBorders>
              <w:top w:val="single" w:sz="4" w:space="0" w:color="auto"/>
              <w:bottom w:val="single" w:sz="4" w:space="0" w:color="auto"/>
            </w:tcBorders>
            <w:shd w:val="clear" w:color="auto" w:fill="auto"/>
            <w:vAlign w:val="center"/>
          </w:tcPr>
          <w:p w14:paraId="654C3159" w14:textId="77777777"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Total</w:t>
            </w:r>
          </w:p>
        </w:tc>
        <w:tc>
          <w:tcPr>
            <w:tcW w:w="1134" w:type="dxa"/>
            <w:tcBorders>
              <w:top w:val="single" w:sz="4" w:space="0" w:color="auto"/>
              <w:bottom w:val="single" w:sz="4" w:space="0" w:color="auto"/>
            </w:tcBorders>
            <w:shd w:val="clear" w:color="auto" w:fill="auto"/>
            <w:vAlign w:val="center"/>
          </w:tcPr>
          <w:p w14:paraId="370E06FD" w14:textId="77777777"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145</w:t>
            </w:r>
          </w:p>
        </w:tc>
        <w:tc>
          <w:tcPr>
            <w:tcW w:w="1134" w:type="dxa"/>
            <w:tcBorders>
              <w:top w:val="single" w:sz="4" w:space="0" w:color="auto"/>
              <w:bottom w:val="single" w:sz="4" w:space="0" w:color="auto"/>
            </w:tcBorders>
            <w:shd w:val="clear" w:color="auto" w:fill="auto"/>
            <w:vAlign w:val="center"/>
          </w:tcPr>
          <w:p w14:paraId="302EE1B7" w14:textId="77777777" w:rsidR="00341FC0" w:rsidRPr="001031A5" w:rsidRDefault="00341FC0" w:rsidP="00F63FC8">
            <w:pPr>
              <w:jc w:val="both"/>
              <w:rPr>
                <w:rFonts w:ascii="Cambria" w:eastAsia="Calibri" w:hAnsi="Cambria"/>
                <w:b/>
                <w:lang w:eastAsia="zh-CN"/>
              </w:rPr>
            </w:pPr>
            <w:r w:rsidRPr="001031A5">
              <w:rPr>
                <w:rFonts w:ascii="Cambria" w:eastAsia="Calibri" w:hAnsi="Cambria"/>
                <w:b/>
                <w:lang w:eastAsia="zh-CN"/>
              </w:rPr>
              <w:t>341</w:t>
            </w:r>
          </w:p>
        </w:tc>
      </w:tr>
    </w:tbl>
    <w:p w14:paraId="2B8E672F" w14:textId="5C6386F4" w:rsidR="000B3D14" w:rsidRPr="00061790" w:rsidRDefault="000B3D14" w:rsidP="000B3D14">
      <w:pPr>
        <w:pStyle w:val="-lettretextegeda0"/>
        <w:jc w:val="both"/>
        <w:rPr>
          <w:rFonts w:ascii="Cambria" w:hAnsi="Cambria"/>
          <w:b/>
          <w:bCs/>
          <w:i/>
          <w:iCs/>
        </w:rPr>
      </w:pPr>
      <w:r w:rsidRPr="00061790">
        <w:rPr>
          <w:rFonts w:ascii="Cambria" w:hAnsi="Cambria"/>
          <w:b/>
          <w:bCs/>
          <w:i/>
          <w:iCs/>
        </w:rPr>
        <w:t>*Equivalent plein temps</w:t>
      </w:r>
    </w:p>
    <w:p w14:paraId="736AE8F5" w14:textId="2D36D4CC" w:rsidR="00341FC0" w:rsidRPr="001031A5" w:rsidRDefault="00341FC0" w:rsidP="00341FC0">
      <w:pPr>
        <w:pStyle w:val="-lettretextegeda0"/>
        <w:jc w:val="both"/>
        <w:rPr>
          <w:rFonts w:ascii="Cambria" w:hAnsi="Cambria"/>
        </w:rPr>
      </w:pPr>
      <w:r w:rsidRPr="001031A5">
        <w:rPr>
          <w:rFonts w:ascii="Cambria" w:hAnsi="Cambria"/>
          <w:i/>
          <w:iCs/>
          <w:u w:val="single"/>
        </w:rPr>
        <w:lastRenderedPageBreak/>
        <w:t>Continuité financière du service</w:t>
      </w:r>
    </w:p>
    <w:p w14:paraId="6777E37B" w14:textId="77777777" w:rsidR="00341FC0" w:rsidRPr="001031A5" w:rsidRDefault="00341FC0" w:rsidP="00341FC0">
      <w:pPr>
        <w:pStyle w:val="-lettretextegeda0"/>
        <w:spacing w:before="40" w:beforeAutospacing="0"/>
        <w:jc w:val="both"/>
        <w:rPr>
          <w:rFonts w:ascii="Cambria" w:hAnsi="Cambria"/>
        </w:rPr>
      </w:pPr>
      <w:r w:rsidRPr="001031A5">
        <w:rPr>
          <w:rFonts w:ascii="Cambria" w:hAnsi="Cambria"/>
        </w:rPr>
        <w:t>Le délégataire exploite le service à ses risques et périls, sous sa responsabilité. Il ne dispose d’aucune garantie du délégant d’amortir les investissements ou les coûts qu’il a supportés liés à l’exploitation du service.</w:t>
      </w:r>
    </w:p>
    <w:p w14:paraId="3A3EE2D0" w14:textId="536AD3FE" w:rsidR="00341FC0" w:rsidRPr="001031A5" w:rsidRDefault="00341FC0" w:rsidP="00341FC0">
      <w:pPr>
        <w:pStyle w:val="-lettretextegeda0"/>
        <w:spacing w:before="40" w:beforeAutospacing="0"/>
        <w:jc w:val="both"/>
        <w:rPr>
          <w:rFonts w:ascii="Cambria" w:hAnsi="Cambria"/>
        </w:rPr>
      </w:pPr>
      <w:r w:rsidRPr="001031A5">
        <w:rPr>
          <w:rFonts w:ascii="Cambria" w:hAnsi="Cambria"/>
        </w:rPr>
        <w:t>Il se rémunère par le biais des produits de l’exploitation du service et en assume les charges.</w:t>
      </w:r>
      <w:r w:rsidR="000B3D14">
        <w:rPr>
          <w:rFonts w:ascii="Cambria" w:hAnsi="Cambria"/>
        </w:rPr>
        <w:t xml:space="preserve"> </w:t>
      </w:r>
      <w:r w:rsidRPr="001031A5">
        <w:rPr>
          <w:rFonts w:ascii="Cambria" w:hAnsi="Cambria"/>
        </w:rPr>
        <w:t xml:space="preserve">Le délégant verse une contribution forfaitaire au </w:t>
      </w:r>
      <w:r w:rsidR="000B3D14">
        <w:rPr>
          <w:rFonts w:ascii="Cambria" w:hAnsi="Cambria"/>
        </w:rPr>
        <w:t>d</w:t>
      </w:r>
      <w:r w:rsidRPr="001031A5">
        <w:rPr>
          <w:rFonts w:ascii="Cambria" w:hAnsi="Cambria"/>
        </w:rPr>
        <w:t xml:space="preserve">élégataire en contrepartie des </w:t>
      </w:r>
      <w:r w:rsidR="000B3D14">
        <w:rPr>
          <w:rFonts w:ascii="Cambria" w:hAnsi="Cambria"/>
        </w:rPr>
        <w:t>o</w:t>
      </w:r>
      <w:r w:rsidRPr="001031A5">
        <w:rPr>
          <w:rFonts w:ascii="Cambria" w:hAnsi="Cambria"/>
        </w:rPr>
        <w:t xml:space="preserve">bligations de </w:t>
      </w:r>
      <w:r w:rsidR="000B3D14">
        <w:rPr>
          <w:rFonts w:ascii="Cambria" w:hAnsi="Cambria"/>
        </w:rPr>
        <w:t>s</w:t>
      </w:r>
      <w:r w:rsidRPr="001031A5">
        <w:rPr>
          <w:rFonts w:ascii="Cambria" w:hAnsi="Cambria"/>
        </w:rPr>
        <w:t xml:space="preserve">ervice </w:t>
      </w:r>
      <w:r w:rsidR="000B3D14">
        <w:rPr>
          <w:rFonts w:ascii="Cambria" w:hAnsi="Cambria"/>
        </w:rPr>
        <w:t>p</w:t>
      </w:r>
      <w:r w:rsidRPr="001031A5">
        <w:rPr>
          <w:rFonts w:ascii="Cambria" w:hAnsi="Cambria"/>
        </w:rPr>
        <w:t>ublic mises à sa charge.</w:t>
      </w:r>
    </w:p>
    <w:p w14:paraId="19901E81" w14:textId="1B30D574" w:rsidR="00341FC0" w:rsidRPr="001031A5" w:rsidRDefault="00341FC0" w:rsidP="00341FC0">
      <w:pPr>
        <w:pStyle w:val="-lettretextegeda0"/>
        <w:spacing w:before="40" w:beforeAutospacing="0"/>
        <w:jc w:val="both"/>
        <w:rPr>
          <w:rFonts w:ascii="Cambria" w:hAnsi="Cambria"/>
        </w:rPr>
      </w:pPr>
      <w:r w:rsidRPr="001031A5">
        <w:rPr>
          <w:rFonts w:ascii="Cambria" w:hAnsi="Cambria"/>
        </w:rPr>
        <w:t xml:space="preserve">Cette contribution est plafonnée annuellement et est destinée à compenser les pertes liées à l’exécution des </w:t>
      </w:r>
      <w:r w:rsidR="000B3D14">
        <w:rPr>
          <w:rFonts w:ascii="Cambria" w:hAnsi="Cambria"/>
        </w:rPr>
        <w:t>o</w:t>
      </w:r>
      <w:r w:rsidRPr="001031A5">
        <w:rPr>
          <w:rFonts w:ascii="Cambria" w:hAnsi="Cambria"/>
        </w:rPr>
        <w:t xml:space="preserve">bligations de </w:t>
      </w:r>
      <w:r w:rsidR="000B3D14">
        <w:rPr>
          <w:rFonts w:ascii="Cambria" w:hAnsi="Cambria"/>
        </w:rPr>
        <w:t>s</w:t>
      </w:r>
      <w:r w:rsidRPr="001031A5">
        <w:rPr>
          <w:rFonts w:ascii="Cambria" w:hAnsi="Cambria"/>
        </w:rPr>
        <w:t xml:space="preserve">ervice </w:t>
      </w:r>
      <w:r w:rsidR="000B3D14">
        <w:rPr>
          <w:rFonts w:ascii="Cambria" w:hAnsi="Cambria"/>
        </w:rPr>
        <w:t>p</w:t>
      </w:r>
      <w:r w:rsidRPr="001031A5">
        <w:rPr>
          <w:rFonts w:ascii="Cambria" w:hAnsi="Cambria"/>
        </w:rPr>
        <w:t xml:space="preserve">ublic, en tenant compte des recettes conservées par le </w:t>
      </w:r>
      <w:r w:rsidR="000B3D14">
        <w:rPr>
          <w:rFonts w:ascii="Cambria" w:hAnsi="Cambria"/>
        </w:rPr>
        <w:t>d</w:t>
      </w:r>
      <w:r w:rsidRPr="001031A5">
        <w:rPr>
          <w:rFonts w:ascii="Cambria" w:hAnsi="Cambria"/>
        </w:rPr>
        <w:t>élégataire ainsi que d’une rémunération raisonnable.</w:t>
      </w:r>
    </w:p>
    <w:p w14:paraId="48EF05A4" w14:textId="48808E19" w:rsidR="00341FC0" w:rsidRPr="001031A5" w:rsidRDefault="00341FC0" w:rsidP="00341FC0">
      <w:pPr>
        <w:pStyle w:val="-lettretextegeda0"/>
        <w:spacing w:before="40" w:beforeAutospacing="0"/>
        <w:jc w:val="both"/>
        <w:rPr>
          <w:rFonts w:ascii="Cambria" w:hAnsi="Cambria"/>
        </w:rPr>
      </w:pPr>
      <w:r w:rsidRPr="001031A5">
        <w:rPr>
          <w:rFonts w:ascii="Cambria" w:hAnsi="Cambria"/>
        </w:rPr>
        <w:t xml:space="preserve">Compte tenu de tous les éléments du cahier des charges et des points négociés sur cette délégation de service public, le </w:t>
      </w:r>
      <w:r w:rsidR="000B3D14">
        <w:rPr>
          <w:rFonts w:ascii="Cambria" w:hAnsi="Cambria"/>
        </w:rPr>
        <w:t>C</w:t>
      </w:r>
      <w:r w:rsidRPr="001031A5">
        <w:rPr>
          <w:rFonts w:ascii="Cambria" w:hAnsi="Cambria"/>
        </w:rPr>
        <w:t>onseil des ministres a approuvé l’offre négociée d</w:t>
      </w:r>
      <w:r w:rsidR="000B3D14">
        <w:rPr>
          <w:rFonts w:ascii="Cambria" w:hAnsi="Cambria"/>
        </w:rPr>
        <w:t>’</w:t>
      </w:r>
      <w:r w:rsidRPr="001031A5">
        <w:rPr>
          <w:rFonts w:ascii="Cambria" w:hAnsi="Cambria"/>
        </w:rPr>
        <w:t xml:space="preserve">Air Tahiti en tant que délégataire de la </w:t>
      </w:r>
      <w:r w:rsidR="000B3D14">
        <w:rPr>
          <w:rFonts w:ascii="Cambria" w:hAnsi="Cambria"/>
        </w:rPr>
        <w:t>délégation de service public</w:t>
      </w:r>
      <w:r w:rsidRPr="001031A5">
        <w:rPr>
          <w:rFonts w:ascii="Cambria" w:hAnsi="Cambria"/>
        </w:rPr>
        <w:t xml:space="preserve"> des 32 îles.</w:t>
      </w:r>
    </w:p>
    <w:p w14:paraId="14B8490F" w14:textId="1208578A" w:rsidR="00341FC0" w:rsidRDefault="00341FC0" w:rsidP="00341FC0">
      <w:pPr>
        <w:pStyle w:val="-LettreTexteGEDA"/>
        <w:ind w:firstLine="0"/>
        <w:rPr>
          <w:rFonts w:ascii="Cambria" w:hAnsi="Cambria"/>
          <w:szCs w:val="24"/>
        </w:rPr>
      </w:pPr>
    </w:p>
    <w:p w14:paraId="5A265657" w14:textId="7175E92B" w:rsidR="00696538" w:rsidRPr="00696538" w:rsidRDefault="00696538" w:rsidP="00341FC0">
      <w:pPr>
        <w:pStyle w:val="-LettreTexteGEDA"/>
        <w:ind w:firstLine="0"/>
        <w:rPr>
          <w:rFonts w:ascii="Cambria" w:hAnsi="Cambria"/>
          <w:b/>
          <w:bCs/>
          <w:szCs w:val="24"/>
        </w:rPr>
      </w:pPr>
      <w:r w:rsidRPr="00696538">
        <w:rPr>
          <w:rFonts w:ascii="Cambria" w:hAnsi="Cambria"/>
          <w:b/>
          <w:bCs/>
          <w:szCs w:val="24"/>
        </w:rPr>
        <w:t>Salon de l’artisanat du 25 juin au 18 juillet</w:t>
      </w:r>
    </w:p>
    <w:p w14:paraId="7706D9C3" w14:textId="77777777" w:rsidR="00696538" w:rsidRPr="00696538" w:rsidRDefault="00696538" w:rsidP="00696538">
      <w:pPr>
        <w:pStyle w:val="-LettreTexteespacGEDA"/>
        <w:ind w:firstLine="0"/>
        <w:rPr>
          <w:rFonts w:ascii="Cambria" w:hAnsi="Cambria"/>
        </w:rPr>
      </w:pPr>
      <w:r w:rsidRPr="00696538">
        <w:rPr>
          <w:rFonts w:ascii="Cambria" w:hAnsi="Cambria"/>
        </w:rPr>
        <w:t>Pour sa 32</w:t>
      </w:r>
      <w:r w:rsidRPr="00696538">
        <w:rPr>
          <w:rFonts w:ascii="Cambria" w:hAnsi="Cambria"/>
          <w:vertAlign w:val="superscript"/>
        </w:rPr>
        <w:t>ème</w:t>
      </w:r>
      <w:r w:rsidRPr="00696538">
        <w:rPr>
          <w:rFonts w:ascii="Cambria" w:hAnsi="Cambria"/>
        </w:rPr>
        <w:t xml:space="preserve"> édition, le salon Heiva Rima’i se tiendra du vendredi 25 juin au dimanche 18 juillet 2021 au Parc expo de Mama’o.</w:t>
      </w:r>
    </w:p>
    <w:p w14:paraId="5CDD0E0A" w14:textId="7D5FBF68" w:rsidR="00696538" w:rsidRPr="00696538" w:rsidRDefault="00696538" w:rsidP="00696538">
      <w:pPr>
        <w:spacing w:before="120"/>
        <w:ind w:right="-2"/>
        <w:jc w:val="both"/>
        <w:rPr>
          <w:rFonts w:ascii="Cambria" w:hAnsi="Cambria"/>
        </w:rPr>
      </w:pPr>
      <w:r w:rsidRPr="00696538">
        <w:rPr>
          <w:rFonts w:ascii="Cambria" w:hAnsi="Cambria"/>
        </w:rPr>
        <w:t xml:space="preserve">Organisé chaque année par le comité Tahiti i te rima </w:t>
      </w:r>
      <w:proofErr w:type="spellStart"/>
      <w:r w:rsidRPr="00696538">
        <w:rPr>
          <w:rFonts w:ascii="Cambria" w:hAnsi="Cambria"/>
        </w:rPr>
        <w:t>rau</w:t>
      </w:r>
      <w:proofErr w:type="spellEnd"/>
      <w:r w:rsidRPr="00696538">
        <w:rPr>
          <w:rFonts w:ascii="Cambria" w:hAnsi="Cambria"/>
        </w:rPr>
        <w:t xml:space="preserve">, présidé par Nathalie </w:t>
      </w:r>
      <w:proofErr w:type="spellStart"/>
      <w:r w:rsidRPr="00696538">
        <w:rPr>
          <w:rFonts w:ascii="Cambria" w:hAnsi="Cambria"/>
        </w:rPr>
        <w:t>T</w:t>
      </w:r>
      <w:r>
        <w:rPr>
          <w:rFonts w:ascii="Cambria" w:hAnsi="Cambria"/>
        </w:rPr>
        <w:t>eariki</w:t>
      </w:r>
      <w:proofErr w:type="spellEnd"/>
      <w:r w:rsidRPr="00696538">
        <w:rPr>
          <w:rFonts w:ascii="Cambria" w:hAnsi="Cambria"/>
        </w:rPr>
        <w:t>, ce salon regroupe des artisans des cinq archipels, qui présentent au travers de plus de trois semaines d’exposition toute la richesse et la diversité de l’artisanat traditionnel. Cette 32</w:t>
      </w:r>
      <w:r w:rsidRPr="00696538">
        <w:rPr>
          <w:rFonts w:ascii="Cambria" w:hAnsi="Cambria"/>
          <w:vertAlign w:val="superscript"/>
        </w:rPr>
        <w:t>ème</w:t>
      </w:r>
      <w:r w:rsidRPr="00696538">
        <w:rPr>
          <w:rFonts w:ascii="Cambria" w:hAnsi="Cambria"/>
        </w:rPr>
        <w:t xml:space="preserve"> édition se tiendra sur le thème du cocotier: </w:t>
      </w:r>
      <w:proofErr w:type="spellStart"/>
      <w:r w:rsidRPr="00696538">
        <w:rPr>
          <w:rFonts w:ascii="Cambria" w:hAnsi="Cambria"/>
          <w:i/>
        </w:rPr>
        <w:t>Tumu</w:t>
      </w:r>
      <w:proofErr w:type="spellEnd"/>
      <w:r w:rsidRPr="00696538">
        <w:rPr>
          <w:rFonts w:ascii="Cambria" w:hAnsi="Cambria"/>
          <w:i/>
        </w:rPr>
        <w:t xml:space="preserve"> </w:t>
      </w:r>
      <w:proofErr w:type="spellStart"/>
      <w:r w:rsidRPr="00696538">
        <w:rPr>
          <w:rFonts w:ascii="Cambria" w:hAnsi="Cambria"/>
          <w:i/>
        </w:rPr>
        <w:t>Ha’ari</w:t>
      </w:r>
      <w:proofErr w:type="spellEnd"/>
      <w:r w:rsidRPr="00696538">
        <w:rPr>
          <w:rFonts w:ascii="Cambria" w:hAnsi="Cambria"/>
        </w:rPr>
        <w:t xml:space="preserve">. </w:t>
      </w:r>
    </w:p>
    <w:p w14:paraId="27708DBF" w14:textId="6065331B" w:rsidR="00696538" w:rsidRPr="00696538" w:rsidRDefault="00696538" w:rsidP="00696538">
      <w:pPr>
        <w:spacing w:before="120"/>
        <w:jc w:val="both"/>
        <w:rPr>
          <w:rFonts w:ascii="Cambria" w:hAnsi="Cambria"/>
        </w:rPr>
      </w:pPr>
      <w:r w:rsidRPr="00696538">
        <w:rPr>
          <w:rFonts w:ascii="Cambria" w:hAnsi="Cambria"/>
        </w:rPr>
        <w:t xml:space="preserve">L’événement regroupera 86 artisans, dont une partie seulement a pu faire le voyage depuis </w:t>
      </w:r>
      <w:r>
        <w:rPr>
          <w:rFonts w:ascii="Cambria" w:hAnsi="Cambria"/>
        </w:rPr>
        <w:t>leurs</w:t>
      </w:r>
      <w:r w:rsidRPr="00696538">
        <w:rPr>
          <w:rFonts w:ascii="Cambria" w:hAnsi="Cambria"/>
        </w:rPr>
        <w:t xml:space="preserve"> île</w:t>
      </w:r>
      <w:r>
        <w:rPr>
          <w:rFonts w:ascii="Cambria" w:hAnsi="Cambria"/>
        </w:rPr>
        <w:t>s</w:t>
      </w:r>
      <w:r w:rsidRPr="00696538">
        <w:rPr>
          <w:rFonts w:ascii="Cambria" w:hAnsi="Cambria"/>
        </w:rPr>
        <w:t xml:space="preserve"> d’origine</w:t>
      </w:r>
      <w:r>
        <w:rPr>
          <w:rFonts w:ascii="Cambria" w:hAnsi="Cambria"/>
        </w:rPr>
        <w:t>,</w:t>
      </w:r>
      <w:r w:rsidRPr="00696538">
        <w:rPr>
          <w:rFonts w:ascii="Cambria" w:hAnsi="Cambria"/>
        </w:rPr>
        <w:t xml:space="preserve"> Rimatara, Rurutu et Huahine. Quant aux autres archipels, ils seront représentés par des artisans originaires des îles mais installés à Tahiti et Moorea.</w:t>
      </w:r>
    </w:p>
    <w:p w14:paraId="23FA9262" w14:textId="43C4CD87" w:rsidR="00696538" w:rsidRPr="00696538" w:rsidRDefault="00696538" w:rsidP="00696538">
      <w:pPr>
        <w:spacing w:before="120"/>
        <w:jc w:val="both"/>
        <w:rPr>
          <w:rFonts w:ascii="Cambria" w:hAnsi="Cambria"/>
        </w:rPr>
      </w:pPr>
      <w:r w:rsidRPr="00696538">
        <w:rPr>
          <w:rFonts w:ascii="Cambria" w:hAnsi="Cambria"/>
        </w:rPr>
        <w:t xml:space="preserve">Un programme riche sera proposé </w:t>
      </w:r>
      <w:r>
        <w:rPr>
          <w:rFonts w:ascii="Cambria" w:hAnsi="Cambria"/>
        </w:rPr>
        <w:t>sur</w:t>
      </w:r>
      <w:r w:rsidRPr="00696538">
        <w:rPr>
          <w:rFonts w:ascii="Cambria" w:hAnsi="Cambria"/>
        </w:rPr>
        <w:t xml:space="preserve"> place</w:t>
      </w:r>
      <w:r>
        <w:rPr>
          <w:rFonts w:ascii="Cambria" w:hAnsi="Cambria"/>
        </w:rPr>
        <w:t>,</w:t>
      </w:r>
      <w:r w:rsidRPr="00696538">
        <w:rPr>
          <w:rFonts w:ascii="Cambria" w:hAnsi="Cambria"/>
        </w:rPr>
        <w:t xml:space="preserve"> au-delà des stands d’exposition vente, avec des démonstrations et des concours qui mettront à l’honneur l’univers du cocotier. Une nouveauté </w:t>
      </w:r>
      <w:r>
        <w:rPr>
          <w:rFonts w:ascii="Cambria" w:hAnsi="Cambria"/>
        </w:rPr>
        <w:t xml:space="preserve">est à signaler pour </w:t>
      </w:r>
      <w:r w:rsidRPr="00696538">
        <w:rPr>
          <w:rFonts w:ascii="Cambria" w:hAnsi="Cambria"/>
        </w:rPr>
        <w:t>cette année</w:t>
      </w:r>
      <w:r w:rsidR="00D61290">
        <w:rPr>
          <w:rFonts w:ascii="Cambria" w:hAnsi="Cambria"/>
        </w:rPr>
        <w:t xml:space="preserve"> </w:t>
      </w:r>
      <w:r w:rsidRPr="00696538">
        <w:rPr>
          <w:rFonts w:ascii="Cambria" w:hAnsi="Cambria"/>
        </w:rPr>
        <w:t xml:space="preserve">: l’organisation d’ateliers pour le grand public, qui permettront de s’essayer aux activités de l’artisanat et de découvrir les matières et spécificités de chaque création. Bijoux, bouquets, </w:t>
      </w:r>
      <w:proofErr w:type="spellStart"/>
      <w:r w:rsidRPr="00696538">
        <w:rPr>
          <w:rFonts w:ascii="Cambria" w:hAnsi="Cambria"/>
        </w:rPr>
        <w:t>tifaifai</w:t>
      </w:r>
      <w:proofErr w:type="spellEnd"/>
      <w:r w:rsidRPr="00696538">
        <w:rPr>
          <w:rFonts w:ascii="Cambria" w:hAnsi="Cambria"/>
        </w:rPr>
        <w:t xml:space="preserve">, paniers, chapeaux, couronnes, c’est tout un </w:t>
      </w:r>
      <w:proofErr w:type="spellStart"/>
      <w:r w:rsidRPr="00696538">
        <w:rPr>
          <w:rFonts w:ascii="Cambria" w:hAnsi="Cambria"/>
        </w:rPr>
        <w:t>savoir faire</w:t>
      </w:r>
      <w:proofErr w:type="spellEnd"/>
      <w:r w:rsidRPr="00696538">
        <w:rPr>
          <w:rFonts w:ascii="Cambria" w:hAnsi="Cambria"/>
        </w:rPr>
        <w:t xml:space="preserve"> qui sera accessible aux visiteurs sur chaque journée. </w:t>
      </w:r>
    </w:p>
    <w:p w14:paraId="5ECE83B4" w14:textId="7209CF39" w:rsidR="00696538" w:rsidRPr="00696538" w:rsidRDefault="00696538" w:rsidP="00C417AA">
      <w:pPr>
        <w:spacing w:before="120"/>
        <w:jc w:val="both"/>
        <w:rPr>
          <w:rFonts w:ascii="Cambria" w:hAnsi="Cambria"/>
        </w:rPr>
      </w:pPr>
      <w:r w:rsidRPr="00696538">
        <w:rPr>
          <w:rFonts w:ascii="Cambria" w:hAnsi="Cambria"/>
        </w:rPr>
        <w:t>Le salon sera ouvert de 9h à 17h tous les jours</w:t>
      </w:r>
      <w:r w:rsidR="00C417AA">
        <w:rPr>
          <w:rFonts w:ascii="Cambria" w:hAnsi="Cambria"/>
        </w:rPr>
        <w:t>. L</w:t>
      </w:r>
      <w:r w:rsidRPr="00696538">
        <w:rPr>
          <w:rFonts w:ascii="Cambria" w:hAnsi="Cambria"/>
        </w:rPr>
        <w:t xml:space="preserve">e programme détaillé sera disponible sur le site </w:t>
      </w:r>
      <w:hyperlink r:id="rId7" w:history="1">
        <w:r w:rsidR="00C417AA" w:rsidRPr="00126E2C">
          <w:rPr>
            <w:rStyle w:val="Lienhypertexte"/>
            <w:rFonts w:ascii="Cambria" w:hAnsi="Cambria"/>
          </w:rPr>
          <w:t>www.artisanat.pf</w:t>
        </w:r>
      </w:hyperlink>
      <w:r w:rsidR="00C417AA">
        <w:rPr>
          <w:rFonts w:ascii="Cambria" w:hAnsi="Cambria"/>
        </w:rPr>
        <w:t xml:space="preserve"> </w:t>
      </w:r>
      <w:r w:rsidRPr="00696538">
        <w:rPr>
          <w:rFonts w:ascii="Cambria" w:hAnsi="Cambria"/>
        </w:rPr>
        <w:t xml:space="preserve">Un dispositif sanitaire adapté aux consignes en vigueur sera mis en place et permettra d’accueillir exposants et visiteurs en toute sécurité. </w:t>
      </w:r>
    </w:p>
    <w:p w14:paraId="0E4FBBBD" w14:textId="77777777" w:rsidR="00696538" w:rsidRPr="001031A5" w:rsidRDefault="00696538" w:rsidP="00341FC0">
      <w:pPr>
        <w:pStyle w:val="-LettreTexteGEDA"/>
        <w:ind w:firstLine="0"/>
        <w:rPr>
          <w:rFonts w:ascii="Cambria" w:hAnsi="Cambria"/>
          <w:szCs w:val="24"/>
        </w:rPr>
      </w:pPr>
    </w:p>
    <w:p w14:paraId="01E90DAB" w14:textId="079AA321" w:rsidR="00FE4687" w:rsidRPr="00FE4687" w:rsidRDefault="00FE4687" w:rsidP="00FE4687">
      <w:pPr>
        <w:spacing w:before="100" w:beforeAutospacing="1" w:after="100" w:afterAutospacing="1"/>
        <w:jc w:val="both"/>
        <w:rPr>
          <w:rFonts w:ascii="Cambria" w:hAnsi="Cambria"/>
          <w:lang w:eastAsia="fr-FR"/>
        </w:rPr>
      </w:pPr>
      <w:r w:rsidRPr="00FE4687">
        <w:rPr>
          <w:rFonts w:ascii="Cambria" w:hAnsi="Cambria"/>
          <w:b/>
          <w:bCs/>
          <w:lang w:eastAsia="fr-FR"/>
        </w:rPr>
        <w:t xml:space="preserve">Subventions de fonctionnement en faveur de 10 associations </w:t>
      </w:r>
      <w:r w:rsidR="00061790">
        <w:rPr>
          <w:rFonts w:ascii="Cambria" w:hAnsi="Cambria"/>
          <w:b/>
          <w:bCs/>
          <w:lang w:eastAsia="fr-FR"/>
        </w:rPr>
        <w:t>œuvrant pour la protection de l’environnement</w:t>
      </w:r>
    </w:p>
    <w:p w14:paraId="64BDFF68" w14:textId="330CFA6C" w:rsidR="00FE4687" w:rsidRPr="00FE4687" w:rsidRDefault="00FE4687" w:rsidP="00FE4687">
      <w:pPr>
        <w:spacing w:before="100" w:beforeAutospacing="1" w:after="100" w:afterAutospacing="1"/>
        <w:jc w:val="both"/>
        <w:rPr>
          <w:rFonts w:ascii="Cambria" w:hAnsi="Cambria"/>
          <w:lang w:eastAsia="fr-FR"/>
        </w:rPr>
      </w:pPr>
      <w:r w:rsidRPr="00FE4687">
        <w:rPr>
          <w:rFonts w:ascii="Cambria" w:hAnsi="Cambria"/>
          <w:lang w:eastAsia="fr-FR"/>
        </w:rPr>
        <w:t xml:space="preserve">Sur proposition du ministre </w:t>
      </w:r>
      <w:r w:rsidR="00061790">
        <w:rPr>
          <w:rFonts w:ascii="Cambria" w:hAnsi="Cambria"/>
          <w:lang w:eastAsia="fr-FR"/>
        </w:rPr>
        <w:t xml:space="preserve">de la Culture, </w:t>
      </w:r>
      <w:r w:rsidRPr="00FE4687">
        <w:rPr>
          <w:rFonts w:ascii="Cambria" w:hAnsi="Cambria"/>
          <w:lang w:eastAsia="fr-FR"/>
        </w:rPr>
        <w:t>en charge de l</w:t>
      </w:r>
      <w:r w:rsidR="00061790">
        <w:rPr>
          <w:rFonts w:ascii="Cambria" w:hAnsi="Cambria"/>
          <w:lang w:eastAsia="fr-FR"/>
        </w:rPr>
        <w:t>’environnement</w:t>
      </w:r>
      <w:r w:rsidRPr="00FE4687">
        <w:rPr>
          <w:rFonts w:ascii="Cambria" w:hAnsi="Cambria"/>
          <w:lang w:eastAsia="fr-FR"/>
        </w:rPr>
        <w:t>, le Conseil des ministres a octroyé de</w:t>
      </w:r>
      <w:r w:rsidR="00061790">
        <w:rPr>
          <w:rFonts w:ascii="Cambria" w:hAnsi="Cambria"/>
          <w:lang w:eastAsia="fr-FR"/>
        </w:rPr>
        <w:t>s</w:t>
      </w:r>
      <w:r w:rsidRPr="00FE4687">
        <w:rPr>
          <w:rFonts w:ascii="Cambria" w:hAnsi="Cambria"/>
          <w:lang w:eastAsia="fr-FR"/>
        </w:rPr>
        <w:t xml:space="preserve"> subventions de fonctionnement</w:t>
      </w:r>
      <w:r w:rsidR="00061790">
        <w:rPr>
          <w:rFonts w:ascii="Cambria" w:hAnsi="Cambria"/>
          <w:lang w:eastAsia="fr-FR"/>
        </w:rPr>
        <w:t>, à plusieurs associations,</w:t>
      </w:r>
      <w:r w:rsidRPr="00FE4687">
        <w:rPr>
          <w:rFonts w:ascii="Cambria" w:hAnsi="Cambria"/>
          <w:lang w:eastAsia="fr-FR"/>
        </w:rPr>
        <w:t xml:space="preserve"> pour un </w:t>
      </w:r>
      <w:r w:rsidRPr="00FE4687">
        <w:rPr>
          <w:rFonts w:ascii="Cambria" w:hAnsi="Cambria"/>
          <w:lang w:eastAsia="fr-FR"/>
        </w:rPr>
        <w:lastRenderedPageBreak/>
        <w:t xml:space="preserve">montant </w:t>
      </w:r>
      <w:r w:rsidR="00061790">
        <w:rPr>
          <w:rFonts w:ascii="Cambria" w:hAnsi="Cambria"/>
          <w:lang w:eastAsia="fr-FR"/>
        </w:rPr>
        <w:t xml:space="preserve">total </w:t>
      </w:r>
      <w:r w:rsidRPr="00FE4687">
        <w:rPr>
          <w:rFonts w:ascii="Cambria" w:hAnsi="Cambria"/>
          <w:lang w:eastAsia="fr-FR"/>
        </w:rPr>
        <w:t xml:space="preserve">de 3 875 000 </w:t>
      </w:r>
      <w:proofErr w:type="spellStart"/>
      <w:r w:rsidRPr="00FE4687">
        <w:rPr>
          <w:rFonts w:ascii="Cambria" w:hAnsi="Cambria"/>
          <w:lang w:eastAsia="fr-FR"/>
        </w:rPr>
        <w:t>Fcfp</w:t>
      </w:r>
      <w:proofErr w:type="spellEnd"/>
      <w:r w:rsidRPr="00FE4687">
        <w:rPr>
          <w:rFonts w:ascii="Cambria" w:hAnsi="Cambria"/>
          <w:lang w:eastAsia="fr-FR"/>
        </w:rPr>
        <w:t>, après avis du Comité d’attribution des subventions en matière de protection, de conservation, de gestion et de valorisation de l’environnement de la Polynésie française, en sa séance du 23 avril 2021.</w:t>
      </w:r>
    </w:p>
    <w:p w14:paraId="67FC3204" w14:textId="3D4CDBFA" w:rsidR="00FE4687" w:rsidRPr="00FE4687" w:rsidRDefault="00FE4687" w:rsidP="00FE4687">
      <w:pPr>
        <w:spacing w:before="100" w:beforeAutospacing="1" w:after="100" w:afterAutospacing="1"/>
        <w:jc w:val="both"/>
        <w:rPr>
          <w:rFonts w:ascii="Cambria" w:hAnsi="Cambria"/>
          <w:lang w:eastAsia="fr-FR"/>
        </w:rPr>
      </w:pPr>
      <w:r w:rsidRPr="00FE4687">
        <w:rPr>
          <w:rFonts w:ascii="Cambria" w:hAnsi="Cambria"/>
          <w:lang w:eastAsia="fr-FR"/>
        </w:rPr>
        <w:t xml:space="preserve">Sur les 10 projets présentés, 7 concernent les </w:t>
      </w:r>
      <w:r w:rsidR="00061790">
        <w:rPr>
          <w:rFonts w:ascii="Cambria" w:hAnsi="Cambria"/>
          <w:lang w:eastAsia="fr-FR"/>
        </w:rPr>
        <w:t>îles du V</w:t>
      </w:r>
      <w:r w:rsidRPr="00FE4687">
        <w:rPr>
          <w:rFonts w:ascii="Cambria" w:hAnsi="Cambria"/>
          <w:lang w:eastAsia="fr-FR"/>
        </w:rPr>
        <w:t>ent (4 Tahiti et 3 Moorea), 2 les Tuamotu (Makemo et Tatakoto), et 1 les Gambier (Rikitea)</w:t>
      </w:r>
      <w:r w:rsidR="00061790">
        <w:rPr>
          <w:rFonts w:ascii="Cambria" w:hAnsi="Cambria"/>
          <w:lang w:eastAsia="fr-FR"/>
        </w:rPr>
        <w:t>,</w:t>
      </w:r>
      <w:r w:rsidRPr="00FE4687">
        <w:rPr>
          <w:rFonts w:ascii="Cambria" w:hAnsi="Cambria"/>
          <w:lang w:eastAsia="fr-FR"/>
        </w:rPr>
        <w:t xml:space="preserve"> et pour un montant d'aide global de 3 875 000 </w:t>
      </w:r>
      <w:proofErr w:type="spellStart"/>
      <w:r w:rsidRPr="00FE4687">
        <w:rPr>
          <w:rFonts w:ascii="Cambria" w:hAnsi="Cambria"/>
          <w:lang w:eastAsia="fr-FR"/>
        </w:rPr>
        <w:t>Fcfp</w:t>
      </w:r>
      <w:proofErr w:type="spellEnd"/>
      <w:r w:rsidRPr="00FE4687">
        <w:rPr>
          <w:rFonts w:ascii="Cambria" w:hAnsi="Cambria"/>
          <w:lang w:eastAsia="fr-FR"/>
        </w:rPr>
        <w:t>.</w:t>
      </w:r>
    </w:p>
    <w:p w14:paraId="5117B040" w14:textId="6B735E79" w:rsidR="00FE4687" w:rsidRPr="00FE4687" w:rsidRDefault="00FE4687" w:rsidP="00FE4687">
      <w:pPr>
        <w:spacing w:before="100" w:beforeAutospacing="1" w:after="100" w:afterAutospacing="1"/>
        <w:jc w:val="both"/>
        <w:rPr>
          <w:rFonts w:ascii="Cambria" w:hAnsi="Cambria"/>
          <w:lang w:eastAsia="fr-FR"/>
        </w:rPr>
      </w:pPr>
      <w:r w:rsidRPr="00FE4687">
        <w:rPr>
          <w:rFonts w:ascii="Cambria" w:hAnsi="Cambria"/>
          <w:lang w:eastAsia="fr-FR"/>
        </w:rPr>
        <w:t xml:space="preserve">Depuis sa création en 2017, ce dispositif de soutien des associations </w:t>
      </w:r>
      <w:r w:rsidR="00061790">
        <w:rPr>
          <w:rFonts w:ascii="Cambria" w:hAnsi="Cambria"/>
          <w:lang w:eastAsia="fr-FR"/>
        </w:rPr>
        <w:t>œuvrant pour la protection de l’</w:t>
      </w:r>
      <w:r w:rsidRPr="00FE4687">
        <w:rPr>
          <w:rFonts w:ascii="Cambria" w:hAnsi="Cambria"/>
          <w:lang w:eastAsia="fr-FR"/>
        </w:rPr>
        <w:t>environnement</w:t>
      </w:r>
      <w:r w:rsidR="00061790">
        <w:rPr>
          <w:rFonts w:ascii="Cambria" w:hAnsi="Cambria"/>
          <w:lang w:eastAsia="fr-FR"/>
        </w:rPr>
        <w:t xml:space="preserve"> </w:t>
      </w:r>
      <w:r w:rsidRPr="00FE4687">
        <w:rPr>
          <w:rFonts w:ascii="Cambria" w:hAnsi="Cambria"/>
          <w:lang w:eastAsia="fr-FR"/>
        </w:rPr>
        <w:t>a permis de financer des projets concernant principalement des actions de ramassage de déchets et de sensibilisation à l'environnement, mais également de lutte contre les espèces envahissantes ou de protection d'espèces menacées.</w:t>
      </w:r>
    </w:p>
    <w:p w14:paraId="73518544" w14:textId="5B8093EF" w:rsidR="00FE4687" w:rsidRPr="004B588D" w:rsidRDefault="004B588D" w:rsidP="004B588D">
      <w:pPr>
        <w:spacing w:before="100" w:beforeAutospacing="1" w:after="100" w:afterAutospacing="1"/>
        <w:jc w:val="both"/>
        <w:rPr>
          <w:rFonts w:ascii="Cambria" w:hAnsi="Cambria"/>
          <w:lang w:eastAsia="fr-FR"/>
        </w:rPr>
      </w:pPr>
      <w:r w:rsidRPr="004B588D">
        <w:rPr>
          <w:rFonts w:ascii="Cambria" w:hAnsi="Cambria"/>
          <w:lang w:eastAsia="fr-FR"/>
        </w:rPr>
        <w:t> </w:t>
      </w:r>
    </w:p>
    <w:p w14:paraId="60EDE03A" w14:textId="77777777" w:rsidR="004B588D" w:rsidRPr="004B588D" w:rsidRDefault="004B588D" w:rsidP="004B588D">
      <w:pPr>
        <w:spacing w:before="100" w:beforeAutospacing="1" w:after="100" w:afterAutospacing="1"/>
        <w:jc w:val="both"/>
        <w:rPr>
          <w:rFonts w:ascii="Cambria" w:hAnsi="Cambria"/>
          <w:lang w:eastAsia="fr-FR"/>
        </w:rPr>
      </w:pPr>
      <w:r w:rsidRPr="004B588D">
        <w:rPr>
          <w:rFonts w:ascii="Cambria" w:hAnsi="Cambria"/>
          <w:b/>
          <w:bCs/>
          <w:lang w:eastAsia="fr-FR"/>
        </w:rPr>
        <w:t>Bilan de la carte sanitaire portant sur l’activité de soins de suite</w:t>
      </w:r>
    </w:p>
    <w:p w14:paraId="20C00A4E" w14:textId="77777777" w:rsidR="004B588D" w:rsidRPr="004B588D" w:rsidRDefault="004B588D" w:rsidP="004B588D">
      <w:pPr>
        <w:spacing w:before="100" w:beforeAutospacing="1" w:after="100" w:afterAutospacing="1"/>
        <w:jc w:val="both"/>
        <w:rPr>
          <w:rFonts w:ascii="Cambria" w:hAnsi="Cambria"/>
          <w:lang w:eastAsia="fr-FR"/>
        </w:rPr>
      </w:pPr>
      <w:r w:rsidRPr="004B588D">
        <w:rPr>
          <w:rFonts w:ascii="Cambria" w:hAnsi="Cambria"/>
          <w:lang w:eastAsia="fr-FR"/>
        </w:rPr>
        <w:t>Le gouvernement a arrêté le bilan de la carte sanitaire portant sur l’activité de soins de suite et de réadaptation (SSR). L’activité de soins de suite et de réadaptation a pour objet de prévenir ou de réduire les conséquences fonctionnelles, physiques, cognitives, psychologiques, ou sociales des déficiences et des limitations de capacité des patients et de promouvoir leur réadaptation et leur réinsertion. Elle comprend, le cas échéant, des actes à visée diagnostique ou thérapeutique.</w:t>
      </w:r>
    </w:p>
    <w:p w14:paraId="02582822" w14:textId="77777777" w:rsidR="004B588D" w:rsidRPr="004B588D" w:rsidRDefault="004B588D" w:rsidP="004B588D">
      <w:pPr>
        <w:spacing w:before="100" w:beforeAutospacing="1" w:after="100" w:afterAutospacing="1"/>
        <w:jc w:val="both"/>
        <w:rPr>
          <w:rFonts w:ascii="Cambria" w:hAnsi="Cambria"/>
          <w:lang w:eastAsia="fr-FR"/>
        </w:rPr>
      </w:pPr>
      <w:r w:rsidRPr="004B588D">
        <w:rPr>
          <w:rFonts w:ascii="Cambria" w:hAnsi="Cambria"/>
          <w:lang w:eastAsia="fr-FR"/>
        </w:rPr>
        <w:t>Pour ces activités et équipements, la carte sanitaire arrête des indices, c'est-à-dire des indications de volume, compte tenu de l’importance de la population. Les indices de la carte sanitaire n’ayant pas été modifiés, 10 places de SSR peuvent être autorisées.</w:t>
      </w:r>
    </w:p>
    <w:p w14:paraId="0B085302" w14:textId="77777777" w:rsidR="004B588D" w:rsidRPr="004B588D" w:rsidRDefault="004B588D" w:rsidP="004B588D">
      <w:pPr>
        <w:spacing w:before="100" w:beforeAutospacing="1" w:after="100" w:afterAutospacing="1"/>
        <w:jc w:val="both"/>
        <w:rPr>
          <w:rFonts w:ascii="Cambria" w:hAnsi="Cambria"/>
          <w:lang w:eastAsia="fr-FR"/>
        </w:rPr>
      </w:pPr>
      <w:r w:rsidRPr="004B588D">
        <w:rPr>
          <w:rFonts w:ascii="Cambria" w:hAnsi="Cambria"/>
          <w:lang w:eastAsia="fr-FR"/>
        </w:rPr>
        <w:t>Le gouvernement a également fixé la période de dépôt des demandes d’autorisation de places de SSR du 19 juillet 2021 au 18 août 2021 inclus, en précisant que ces places devront être dédiées à la prise en charge ambulatoire des patients atteints d’obésité, compte tenu du fait que :</w:t>
      </w:r>
    </w:p>
    <w:p w14:paraId="59651F1C" w14:textId="77777777" w:rsidR="004B588D" w:rsidRPr="004B588D" w:rsidRDefault="004B588D" w:rsidP="004B588D">
      <w:pPr>
        <w:numPr>
          <w:ilvl w:val="0"/>
          <w:numId w:val="28"/>
        </w:numPr>
        <w:spacing w:before="100" w:beforeAutospacing="1" w:after="100" w:afterAutospacing="1"/>
        <w:jc w:val="both"/>
        <w:rPr>
          <w:rFonts w:ascii="Cambria" w:hAnsi="Cambria"/>
          <w:lang w:eastAsia="fr-FR"/>
        </w:rPr>
      </w:pPr>
      <w:proofErr w:type="gramStart"/>
      <w:r w:rsidRPr="004B588D">
        <w:rPr>
          <w:rFonts w:ascii="Cambria" w:hAnsi="Cambria"/>
          <w:lang w:eastAsia="fr-FR"/>
        </w:rPr>
        <w:t>la</w:t>
      </w:r>
      <w:proofErr w:type="gramEnd"/>
      <w:r w:rsidRPr="004B588D">
        <w:rPr>
          <w:rFonts w:ascii="Cambria" w:hAnsi="Cambria"/>
          <w:lang w:eastAsia="fr-FR"/>
        </w:rPr>
        <w:t xml:space="preserve"> prévalence du surpoids et de l’obésité est très élevée en Polynésie française ;</w:t>
      </w:r>
    </w:p>
    <w:p w14:paraId="17676C87" w14:textId="77777777" w:rsidR="004B588D" w:rsidRPr="004B588D" w:rsidRDefault="004B588D" w:rsidP="004B588D">
      <w:pPr>
        <w:numPr>
          <w:ilvl w:val="0"/>
          <w:numId w:val="28"/>
        </w:numPr>
        <w:spacing w:before="100" w:beforeAutospacing="1" w:after="100" w:afterAutospacing="1"/>
        <w:jc w:val="both"/>
        <w:rPr>
          <w:rFonts w:ascii="Cambria" w:hAnsi="Cambria"/>
          <w:lang w:eastAsia="fr-FR"/>
        </w:rPr>
      </w:pPr>
      <w:proofErr w:type="gramStart"/>
      <w:r w:rsidRPr="004B588D">
        <w:rPr>
          <w:rFonts w:ascii="Cambria" w:hAnsi="Cambria"/>
          <w:lang w:eastAsia="fr-FR"/>
        </w:rPr>
        <w:t>le</w:t>
      </w:r>
      <w:proofErr w:type="gramEnd"/>
      <w:r w:rsidRPr="004B588D">
        <w:rPr>
          <w:rFonts w:ascii="Cambria" w:hAnsi="Cambria"/>
          <w:lang w:eastAsia="fr-FR"/>
        </w:rPr>
        <w:t xml:space="preserve"> surpoids et de l’obésité sont définies comme des priorités de santé publique dans les orientations stratégiques 2016-2025 de la politique de santé et le schéma d’organisation Sanitaire 2016-2021;</w:t>
      </w:r>
    </w:p>
    <w:p w14:paraId="75BB28CB" w14:textId="77777777" w:rsidR="004B588D" w:rsidRPr="004B588D" w:rsidRDefault="004B588D" w:rsidP="004B588D">
      <w:pPr>
        <w:numPr>
          <w:ilvl w:val="0"/>
          <w:numId w:val="28"/>
        </w:numPr>
        <w:spacing w:before="100" w:beforeAutospacing="1" w:after="100" w:afterAutospacing="1"/>
        <w:jc w:val="both"/>
        <w:rPr>
          <w:rFonts w:ascii="Cambria" w:hAnsi="Cambria"/>
          <w:lang w:eastAsia="fr-FR"/>
        </w:rPr>
      </w:pPr>
      <w:proofErr w:type="gramStart"/>
      <w:r w:rsidRPr="004B588D">
        <w:rPr>
          <w:rFonts w:ascii="Cambria" w:hAnsi="Cambria"/>
          <w:lang w:eastAsia="fr-FR"/>
        </w:rPr>
        <w:t>il</w:t>
      </w:r>
      <w:proofErr w:type="gramEnd"/>
      <w:r w:rsidRPr="004B588D">
        <w:rPr>
          <w:rFonts w:ascii="Cambria" w:hAnsi="Cambria"/>
          <w:lang w:eastAsia="fr-FR"/>
        </w:rPr>
        <w:t xml:space="preserve"> n’existe actuellement aucune structure de Polynésie française dédiée spécifiquement à la prise en charge de l’obésité.</w:t>
      </w:r>
    </w:p>
    <w:p w14:paraId="05777A0D" w14:textId="2FF4802A" w:rsidR="001025C8" w:rsidRDefault="001025C8" w:rsidP="0073664B">
      <w:pPr>
        <w:rPr>
          <w:rFonts w:ascii="Cambria" w:hAnsi="Cambria"/>
          <w:b/>
          <w:bCs/>
          <w:lang w:eastAsia="fr-FR"/>
        </w:rPr>
      </w:pPr>
    </w:p>
    <w:p w14:paraId="06C30A5B"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Subventions de fonctionnement en faveur d’établissements publics d’enseignement de la Polynésie française</w:t>
      </w:r>
    </w:p>
    <w:p w14:paraId="03710833"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tbl>
      <w:tblPr>
        <w:tblW w:w="9067" w:type="dxa"/>
        <w:tblCellMar>
          <w:left w:w="70" w:type="dxa"/>
          <w:right w:w="70" w:type="dxa"/>
        </w:tblCellMar>
        <w:tblLook w:val="04A0" w:firstRow="1" w:lastRow="0" w:firstColumn="1" w:lastColumn="0" w:noHBand="0" w:noVBand="1"/>
      </w:tblPr>
      <w:tblGrid>
        <w:gridCol w:w="2263"/>
        <w:gridCol w:w="5103"/>
        <w:gridCol w:w="1701"/>
      </w:tblGrid>
      <w:tr w:rsidR="00941768" w:rsidRPr="00B63E68" w14:paraId="5755B007" w14:textId="77777777" w:rsidTr="00F63FC8">
        <w:trPr>
          <w:trHeight w:val="5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36A9" w14:textId="77777777" w:rsidR="00941768" w:rsidRPr="00B63E68" w:rsidRDefault="00941768" w:rsidP="00F63FC8">
            <w:pPr>
              <w:jc w:val="center"/>
              <w:rPr>
                <w:rFonts w:ascii="Cambria" w:hAnsi="Cambria" w:cs="Calibri"/>
                <w:b/>
                <w:bCs/>
                <w:color w:val="000000"/>
                <w:lang w:eastAsia="fr-FR"/>
              </w:rPr>
            </w:pPr>
            <w:r w:rsidRPr="00B63E68">
              <w:rPr>
                <w:rFonts w:ascii="Cambria" w:hAnsi="Cambria" w:cs="Calibri"/>
                <w:b/>
                <w:bCs/>
                <w:color w:val="000000"/>
                <w:lang w:eastAsia="fr-FR"/>
              </w:rPr>
              <w:lastRenderedPageBreak/>
              <w:t>Bénéficiaire</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B9BAC49" w14:textId="77777777" w:rsidR="00941768" w:rsidRPr="00B63E68" w:rsidRDefault="00941768" w:rsidP="00F63FC8">
            <w:pPr>
              <w:jc w:val="center"/>
              <w:rPr>
                <w:rFonts w:ascii="Cambria" w:hAnsi="Cambria" w:cs="Calibri"/>
                <w:b/>
                <w:bCs/>
                <w:color w:val="000000"/>
                <w:lang w:eastAsia="fr-FR"/>
              </w:rPr>
            </w:pPr>
            <w:r w:rsidRPr="00B63E68">
              <w:rPr>
                <w:rFonts w:ascii="Cambria" w:hAnsi="Cambria" w:cs="Calibri"/>
                <w:b/>
                <w:bCs/>
                <w:color w:val="000000"/>
                <w:lang w:eastAsia="fr-FR"/>
              </w:rPr>
              <w:t>Objet de la subvention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2D63E0" w14:textId="77777777" w:rsidR="00941768" w:rsidRPr="00B63E68" w:rsidRDefault="00941768" w:rsidP="00F63FC8">
            <w:pPr>
              <w:jc w:val="center"/>
              <w:rPr>
                <w:rFonts w:ascii="Cambria" w:hAnsi="Cambria" w:cs="Calibri"/>
                <w:b/>
                <w:bCs/>
                <w:color w:val="000000"/>
                <w:lang w:eastAsia="fr-FR"/>
              </w:rPr>
            </w:pPr>
            <w:r w:rsidRPr="00B63E68">
              <w:rPr>
                <w:rFonts w:ascii="Cambria" w:hAnsi="Cambria" w:cs="Calibri"/>
                <w:b/>
                <w:bCs/>
                <w:color w:val="000000"/>
                <w:lang w:eastAsia="fr-FR"/>
              </w:rPr>
              <w:t>Montant</w:t>
            </w:r>
          </w:p>
          <w:p w14:paraId="2E5D9624" w14:textId="77777777" w:rsidR="00941768" w:rsidRPr="00B63E68" w:rsidRDefault="00941768" w:rsidP="00F63FC8">
            <w:pPr>
              <w:jc w:val="center"/>
              <w:rPr>
                <w:rFonts w:ascii="Cambria" w:hAnsi="Cambria" w:cs="Calibri"/>
                <w:b/>
                <w:bCs/>
                <w:color w:val="000000"/>
                <w:lang w:eastAsia="fr-FR"/>
              </w:rPr>
            </w:pPr>
            <w:proofErr w:type="gramStart"/>
            <w:r w:rsidRPr="00B63E68">
              <w:rPr>
                <w:rFonts w:ascii="Cambria" w:hAnsi="Cambria" w:cs="Calibri"/>
                <w:b/>
                <w:bCs/>
                <w:color w:val="000000"/>
                <w:lang w:eastAsia="fr-FR"/>
              </w:rPr>
              <w:t>en</w:t>
            </w:r>
            <w:proofErr w:type="gramEnd"/>
            <w:r w:rsidRPr="00B63E68">
              <w:rPr>
                <w:rFonts w:ascii="Cambria" w:hAnsi="Cambria" w:cs="Calibri"/>
                <w:b/>
                <w:bCs/>
                <w:color w:val="000000"/>
                <w:lang w:eastAsia="fr-FR"/>
              </w:rPr>
              <w:t xml:space="preserve"> </w:t>
            </w:r>
            <w:proofErr w:type="spellStart"/>
            <w:r w:rsidRPr="00B63E68">
              <w:rPr>
                <w:rFonts w:ascii="Cambria" w:hAnsi="Cambria" w:cs="Calibri"/>
                <w:b/>
                <w:bCs/>
                <w:color w:val="000000"/>
                <w:lang w:eastAsia="fr-FR"/>
              </w:rPr>
              <w:t>Fcfp</w:t>
            </w:r>
            <w:proofErr w:type="spellEnd"/>
          </w:p>
        </w:tc>
      </w:tr>
      <w:tr w:rsidR="00941768" w:rsidRPr="00B63E68" w14:paraId="13256417"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D4EEB4A"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Lycée professionnel de </w:t>
            </w:r>
            <w:proofErr w:type="spellStart"/>
            <w:r w:rsidRPr="00B63E68">
              <w:rPr>
                <w:rFonts w:ascii="Cambria" w:hAnsi="Cambria" w:cs="Calibri"/>
                <w:color w:val="000000"/>
                <w:lang w:eastAsia="fr-FR"/>
              </w:rPr>
              <w:t>Mahina</w:t>
            </w:r>
            <w:proofErr w:type="spellEnd"/>
          </w:p>
        </w:tc>
        <w:tc>
          <w:tcPr>
            <w:tcW w:w="5103" w:type="dxa"/>
            <w:tcBorders>
              <w:top w:val="nil"/>
              <w:left w:val="nil"/>
              <w:bottom w:val="single" w:sz="4" w:space="0" w:color="auto"/>
              <w:right w:val="single" w:sz="4" w:space="0" w:color="auto"/>
            </w:tcBorders>
            <w:shd w:val="clear" w:color="auto" w:fill="auto"/>
            <w:vAlign w:val="center"/>
            <w:hideMark/>
          </w:tcPr>
          <w:p w14:paraId="27A53B31"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l'installation</w:t>
            </w:r>
            <w:proofErr w:type="gramEnd"/>
            <w:r w:rsidRPr="00B63E68">
              <w:rPr>
                <w:rFonts w:ascii="Cambria" w:hAnsi="Cambria" w:cs="Calibri"/>
                <w:color w:val="000000"/>
                <w:lang w:eastAsia="fr-FR"/>
              </w:rPr>
              <w:t xml:space="preserve"> d'une alimentation électrique pour la pompe de relevage</w:t>
            </w:r>
          </w:p>
        </w:tc>
        <w:tc>
          <w:tcPr>
            <w:tcW w:w="1701" w:type="dxa"/>
            <w:tcBorders>
              <w:top w:val="nil"/>
              <w:left w:val="nil"/>
              <w:bottom w:val="single" w:sz="4" w:space="0" w:color="auto"/>
              <w:right w:val="single" w:sz="4" w:space="0" w:color="auto"/>
            </w:tcBorders>
            <w:shd w:val="clear" w:color="auto" w:fill="auto"/>
            <w:vAlign w:val="center"/>
            <w:hideMark/>
          </w:tcPr>
          <w:p w14:paraId="08DCA151"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284 217</w:t>
            </w:r>
          </w:p>
        </w:tc>
      </w:tr>
      <w:tr w:rsidR="00941768" w:rsidRPr="00B63E68" w14:paraId="76A576FD"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C7D7AA8"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de </w:t>
            </w:r>
            <w:proofErr w:type="spellStart"/>
            <w:r w:rsidRPr="00B63E68">
              <w:rPr>
                <w:rFonts w:ascii="Cambria" w:hAnsi="Cambria" w:cs="Calibri"/>
                <w:color w:val="000000"/>
                <w:lang w:eastAsia="fr-FR"/>
              </w:rPr>
              <w:t>Moerai</w:t>
            </w:r>
            <w:proofErr w:type="spellEnd"/>
            <w:r w:rsidRPr="00B63E68">
              <w:rPr>
                <w:rFonts w:ascii="Cambria" w:hAnsi="Cambria" w:cs="Calibri"/>
                <w:color w:val="000000"/>
                <w:lang w:eastAsia="fr-FR"/>
              </w:rPr>
              <w:t xml:space="preserve"> - Rurutu</w:t>
            </w:r>
          </w:p>
        </w:tc>
        <w:tc>
          <w:tcPr>
            <w:tcW w:w="5103" w:type="dxa"/>
            <w:tcBorders>
              <w:top w:val="nil"/>
              <w:left w:val="nil"/>
              <w:bottom w:val="single" w:sz="4" w:space="0" w:color="auto"/>
              <w:right w:val="single" w:sz="4" w:space="0" w:color="auto"/>
            </w:tcBorders>
            <w:shd w:val="clear" w:color="auto" w:fill="auto"/>
            <w:vAlign w:val="center"/>
            <w:hideMark/>
          </w:tcPr>
          <w:p w14:paraId="14D750A2"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l'achat</w:t>
            </w:r>
            <w:proofErr w:type="gramEnd"/>
            <w:r w:rsidRPr="00B63E68">
              <w:rPr>
                <w:rFonts w:ascii="Cambria" w:hAnsi="Cambria" w:cs="Calibri"/>
                <w:color w:val="000000"/>
                <w:lang w:eastAsia="fr-FR"/>
              </w:rPr>
              <w:t xml:space="preserve"> d'un kayak pour sécuriser la surveillance de baignade</w:t>
            </w:r>
          </w:p>
        </w:tc>
        <w:tc>
          <w:tcPr>
            <w:tcW w:w="1701" w:type="dxa"/>
            <w:tcBorders>
              <w:top w:val="nil"/>
              <w:left w:val="nil"/>
              <w:bottom w:val="single" w:sz="4" w:space="0" w:color="auto"/>
              <w:right w:val="single" w:sz="4" w:space="0" w:color="auto"/>
            </w:tcBorders>
            <w:shd w:val="clear" w:color="auto" w:fill="auto"/>
            <w:vAlign w:val="center"/>
            <w:hideMark/>
          </w:tcPr>
          <w:p w14:paraId="233D02E9"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67 891</w:t>
            </w:r>
          </w:p>
        </w:tc>
      </w:tr>
      <w:tr w:rsidR="00941768" w:rsidRPr="00B63E68" w14:paraId="068D28D1"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4D2B9A7"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du </w:t>
            </w:r>
            <w:proofErr w:type="spellStart"/>
            <w:r w:rsidRPr="00B63E68">
              <w:rPr>
                <w:rFonts w:ascii="Cambria" w:hAnsi="Cambria" w:cs="Calibri"/>
                <w:color w:val="000000"/>
                <w:lang w:eastAsia="fr-FR"/>
              </w:rPr>
              <w:t>Taaone</w:t>
            </w:r>
            <w:proofErr w:type="spellEnd"/>
            <w:r w:rsidRPr="00B63E68">
              <w:rPr>
                <w:rFonts w:ascii="Cambria" w:hAnsi="Cambria" w:cs="Calibri"/>
                <w:color w:val="000000"/>
                <w:lang w:eastAsia="fr-FR"/>
              </w:rPr>
              <w:t xml:space="preserve"> - Pirae</w:t>
            </w:r>
          </w:p>
        </w:tc>
        <w:tc>
          <w:tcPr>
            <w:tcW w:w="5103" w:type="dxa"/>
            <w:tcBorders>
              <w:top w:val="nil"/>
              <w:left w:val="nil"/>
              <w:bottom w:val="single" w:sz="4" w:space="0" w:color="auto"/>
              <w:right w:val="single" w:sz="4" w:space="0" w:color="auto"/>
            </w:tcBorders>
            <w:shd w:val="clear" w:color="auto" w:fill="auto"/>
            <w:vAlign w:val="center"/>
            <w:hideMark/>
          </w:tcPr>
          <w:p w14:paraId="63290B51"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les</w:t>
            </w:r>
            <w:proofErr w:type="gramEnd"/>
            <w:r w:rsidRPr="00B63E68">
              <w:rPr>
                <w:rFonts w:ascii="Cambria" w:hAnsi="Cambria" w:cs="Calibri"/>
                <w:color w:val="000000"/>
                <w:lang w:eastAsia="fr-FR"/>
              </w:rPr>
              <w:t xml:space="preserve"> travaux de connexion à la fibre optique de l'un des bâtiments du collège</w:t>
            </w:r>
          </w:p>
        </w:tc>
        <w:tc>
          <w:tcPr>
            <w:tcW w:w="1701" w:type="dxa"/>
            <w:tcBorders>
              <w:top w:val="nil"/>
              <w:left w:val="nil"/>
              <w:bottom w:val="single" w:sz="4" w:space="0" w:color="auto"/>
              <w:right w:val="single" w:sz="4" w:space="0" w:color="auto"/>
            </w:tcBorders>
            <w:shd w:val="clear" w:color="auto" w:fill="auto"/>
            <w:vAlign w:val="center"/>
            <w:hideMark/>
          </w:tcPr>
          <w:p w14:paraId="38A3FF7D"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839 572</w:t>
            </w:r>
          </w:p>
        </w:tc>
      </w:tr>
      <w:tr w:rsidR="00941768" w:rsidRPr="00B63E68" w14:paraId="1DD68CCF"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70639B8F"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Lycée professionnel de </w:t>
            </w:r>
            <w:proofErr w:type="spellStart"/>
            <w:r w:rsidRPr="00B63E68">
              <w:rPr>
                <w:rFonts w:ascii="Cambria" w:hAnsi="Cambria" w:cs="Calibri"/>
                <w:color w:val="000000"/>
                <w:lang w:eastAsia="fr-FR"/>
              </w:rPr>
              <w:t>Mahina</w:t>
            </w:r>
            <w:proofErr w:type="spellEnd"/>
          </w:p>
        </w:tc>
        <w:tc>
          <w:tcPr>
            <w:tcW w:w="5103" w:type="dxa"/>
            <w:tcBorders>
              <w:top w:val="nil"/>
              <w:left w:val="nil"/>
              <w:bottom w:val="single" w:sz="4" w:space="0" w:color="auto"/>
              <w:right w:val="single" w:sz="4" w:space="0" w:color="auto"/>
            </w:tcBorders>
            <w:shd w:val="clear" w:color="auto" w:fill="auto"/>
            <w:vAlign w:val="center"/>
            <w:hideMark/>
          </w:tcPr>
          <w:p w14:paraId="3853C1A6" w14:textId="77777777" w:rsidR="00941768" w:rsidRPr="00B63E68" w:rsidRDefault="00941768" w:rsidP="00F63FC8">
            <w:pPr>
              <w:jc w:val="both"/>
              <w:rPr>
                <w:rFonts w:ascii="Cambria" w:hAnsi="Cambria" w:cs="Calibri"/>
                <w:color w:val="000000"/>
                <w:lang w:eastAsia="fr-FR"/>
              </w:rPr>
            </w:pPr>
            <w:proofErr w:type="gramStart"/>
            <w:r w:rsidRPr="00B63E68">
              <w:rPr>
                <w:rFonts w:ascii="Cambria" w:hAnsi="Cambria" w:cs="Calibri"/>
                <w:color w:val="000000"/>
                <w:lang w:eastAsia="fr-FR"/>
              </w:rPr>
              <w:t>l'achat</w:t>
            </w:r>
            <w:proofErr w:type="gramEnd"/>
            <w:r w:rsidRPr="00B63E68">
              <w:rPr>
                <w:rFonts w:ascii="Cambria" w:hAnsi="Cambria" w:cs="Calibri"/>
                <w:color w:val="000000"/>
                <w:lang w:eastAsia="fr-FR"/>
              </w:rPr>
              <w:t xml:space="preserve"> d'équipements dans le cadre de la création du CAP Accompagnement éducatif petite enfance (AEPE)</w:t>
            </w:r>
          </w:p>
        </w:tc>
        <w:tc>
          <w:tcPr>
            <w:tcW w:w="1701" w:type="dxa"/>
            <w:tcBorders>
              <w:top w:val="nil"/>
              <w:left w:val="nil"/>
              <w:bottom w:val="single" w:sz="4" w:space="0" w:color="auto"/>
              <w:right w:val="single" w:sz="4" w:space="0" w:color="auto"/>
            </w:tcBorders>
            <w:shd w:val="clear" w:color="auto" w:fill="auto"/>
            <w:vAlign w:val="center"/>
            <w:hideMark/>
          </w:tcPr>
          <w:p w14:paraId="0038CB29"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803 727</w:t>
            </w:r>
          </w:p>
        </w:tc>
      </w:tr>
      <w:tr w:rsidR="00941768" w:rsidRPr="00B63E68" w14:paraId="6505E83C"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AE49B6B"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3F2B4544" w14:textId="77777777" w:rsidR="00941768" w:rsidRPr="00B63E68" w:rsidRDefault="00941768" w:rsidP="00F63FC8">
            <w:pPr>
              <w:jc w:val="both"/>
              <w:rPr>
                <w:rFonts w:ascii="Cambria" w:hAnsi="Cambria" w:cs="Calibri"/>
                <w:color w:val="000000"/>
                <w:lang w:eastAsia="fr-FR"/>
              </w:rPr>
            </w:pPr>
            <w:proofErr w:type="gramStart"/>
            <w:r w:rsidRPr="00B63E68">
              <w:rPr>
                <w:rFonts w:ascii="Cambria" w:hAnsi="Cambria" w:cs="Calibri"/>
                <w:color w:val="000000"/>
                <w:lang w:eastAsia="fr-FR"/>
              </w:rPr>
              <w:t>l'achat</w:t>
            </w:r>
            <w:proofErr w:type="gramEnd"/>
            <w:r w:rsidRPr="00B63E68">
              <w:rPr>
                <w:rFonts w:ascii="Cambria" w:hAnsi="Cambria" w:cs="Calibri"/>
                <w:color w:val="000000"/>
                <w:lang w:eastAsia="fr-FR"/>
              </w:rPr>
              <w:t xml:space="preserve"> de </w:t>
            </w:r>
            <w:proofErr w:type="spellStart"/>
            <w:r w:rsidRPr="00B63E68">
              <w:rPr>
                <w:rFonts w:ascii="Cambria" w:hAnsi="Cambria" w:cs="Calibri"/>
                <w:color w:val="000000"/>
                <w:lang w:eastAsia="fr-FR"/>
              </w:rPr>
              <w:t>switchs</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A0D2308"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670 993</w:t>
            </w:r>
          </w:p>
        </w:tc>
      </w:tr>
      <w:tr w:rsidR="00941768" w:rsidRPr="00B63E68" w14:paraId="4DBD4BD0"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2EAB293A"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7597154" w14:textId="77777777" w:rsidR="00941768" w:rsidRPr="00B63E68" w:rsidRDefault="00941768" w:rsidP="00F63FC8">
            <w:pPr>
              <w:jc w:val="both"/>
              <w:rPr>
                <w:rFonts w:ascii="Cambria" w:hAnsi="Cambria" w:cs="Calibri"/>
                <w:color w:val="000000"/>
                <w:lang w:eastAsia="fr-FR"/>
              </w:rPr>
            </w:pPr>
            <w:proofErr w:type="gramStart"/>
            <w:r w:rsidRPr="00B63E68">
              <w:rPr>
                <w:rFonts w:ascii="Cambria" w:hAnsi="Cambria" w:cs="Calibri"/>
                <w:color w:val="000000"/>
                <w:lang w:eastAsia="fr-FR"/>
              </w:rPr>
              <w:t>les</w:t>
            </w:r>
            <w:proofErr w:type="gramEnd"/>
            <w:r w:rsidRPr="00B63E68">
              <w:rPr>
                <w:rFonts w:ascii="Cambria" w:hAnsi="Cambria" w:cs="Calibri"/>
                <w:color w:val="000000"/>
                <w:lang w:eastAsia="fr-FR"/>
              </w:rPr>
              <w:t xml:space="preserve"> travaux d'évacuation des eaux de pluie à l'internat</w:t>
            </w:r>
          </w:p>
        </w:tc>
        <w:tc>
          <w:tcPr>
            <w:tcW w:w="1701" w:type="dxa"/>
            <w:tcBorders>
              <w:top w:val="nil"/>
              <w:left w:val="nil"/>
              <w:bottom w:val="single" w:sz="4" w:space="0" w:color="auto"/>
              <w:right w:val="single" w:sz="4" w:space="0" w:color="auto"/>
            </w:tcBorders>
            <w:shd w:val="clear" w:color="auto" w:fill="auto"/>
            <w:vAlign w:val="center"/>
            <w:hideMark/>
          </w:tcPr>
          <w:p w14:paraId="3D5DACDC"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422 620</w:t>
            </w:r>
          </w:p>
        </w:tc>
      </w:tr>
      <w:tr w:rsidR="00941768" w:rsidRPr="00B63E68" w14:paraId="77B7402C"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721246DF"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235D0D2" w14:textId="77777777" w:rsidR="00941768" w:rsidRPr="00B63E68" w:rsidRDefault="00941768" w:rsidP="00F63FC8">
            <w:pPr>
              <w:jc w:val="both"/>
              <w:rPr>
                <w:rFonts w:ascii="Cambria" w:hAnsi="Cambria" w:cs="Calibri"/>
                <w:color w:val="000000"/>
                <w:lang w:eastAsia="fr-FR"/>
              </w:rPr>
            </w:pPr>
            <w:proofErr w:type="gramStart"/>
            <w:r w:rsidRPr="00B63E68">
              <w:rPr>
                <w:rFonts w:ascii="Cambria" w:hAnsi="Cambria" w:cs="Calibri"/>
                <w:color w:val="000000"/>
                <w:lang w:eastAsia="fr-FR"/>
              </w:rPr>
              <w:t>les</w:t>
            </w:r>
            <w:proofErr w:type="gramEnd"/>
            <w:r w:rsidRPr="00B63E68">
              <w:rPr>
                <w:rFonts w:ascii="Cambria" w:hAnsi="Cambria" w:cs="Calibri"/>
                <w:color w:val="000000"/>
                <w:lang w:eastAsia="fr-FR"/>
              </w:rPr>
              <w:t xml:space="preserve"> travaux électriques de rénovation et de mise en conformité de la cuisine pédagogique</w:t>
            </w:r>
          </w:p>
        </w:tc>
        <w:tc>
          <w:tcPr>
            <w:tcW w:w="1701" w:type="dxa"/>
            <w:tcBorders>
              <w:top w:val="nil"/>
              <w:left w:val="nil"/>
              <w:bottom w:val="single" w:sz="4" w:space="0" w:color="auto"/>
              <w:right w:val="single" w:sz="4" w:space="0" w:color="auto"/>
            </w:tcBorders>
            <w:shd w:val="clear" w:color="auto" w:fill="auto"/>
            <w:vAlign w:val="center"/>
            <w:hideMark/>
          </w:tcPr>
          <w:p w14:paraId="2598F337"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1 532 845</w:t>
            </w:r>
          </w:p>
        </w:tc>
      </w:tr>
      <w:tr w:rsidR="00941768" w:rsidRPr="00B63E68" w14:paraId="6EBD8A1D"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C25C4DB"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FFDDC8C" w14:textId="77777777" w:rsidR="00941768" w:rsidRPr="00B63E68" w:rsidRDefault="00941768" w:rsidP="00F63FC8">
            <w:pPr>
              <w:jc w:val="both"/>
              <w:rPr>
                <w:rFonts w:ascii="Cambria" w:hAnsi="Cambria" w:cs="Calibri"/>
                <w:color w:val="000000"/>
                <w:lang w:eastAsia="fr-FR"/>
              </w:rPr>
            </w:pPr>
            <w:proofErr w:type="gramStart"/>
            <w:r w:rsidRPr="00B63E68">
              <w:rPr>
                <w:rFonts w:ascii="Cambria" w:hAnsi="Cambria" w:cs="Calibri"/>
                <w:color w:val="000000"/>
                <w:lang w:eastAsia="fr-FR"/>
              </w:rPr>
              <w:t>la</w:t>
            </w:r>
            <w:proofErr w:type="gramEnd"/>
            <w:r w:rsidRPr="00B63E68">
              <w:rPr>
                <w:rFonts w:ascii="Cambria" w:hAnsi="Cambria" w:cs="Calibri"/>
                <w:color w:val="000000"/>
                <w:lang w:eastAsia="fr-FR"/>
              </w:rPr>
              <w:t xml:space="preserve"> prise en charge du transport scolaire dans le cadre de l'exercice des activités sportives</w:t>
            </w:r>
          </w:p>
        </w:tc>
        <w:tc>
          <w:tcPr>
            <w:tcW w:w="1701" w:type="dxa"/>
            <w:tcBorders>
              <w:top w:val="nil"/>
              <w:left w:val="nil"/>
              <w:bottom w:val="single" w:sz="4" w:space="0" w:color="auto"/>
              <w:right w:val="single" w:sz="4" w:space="0" w:color="auto"/>
            </w:tcBorders>
            <w:shd w:val="clear" w:color="auto" w:fill="auto"/>
            <w:vAlign w:val="center"/>
            <w:hideMark/>
          </w:tcPr>
          <w:p w14:paraId="2902E2A5"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891 000</w:t>
            </w:r>
          </w:p>
        </w:tc>
      </w:tr>
      <w:tr w:rsidR="00941768" w:rsidRPr="00B63E68" w14:paraId="4099E6FD"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86860E2"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de </w:t>
            </w:r>
            <w:proofErr w:type="spellStart"/>
            <w:r w:rsidRPr="00B63E68">
              <w:rPr>
                <w:rFonts w:ascii="Cambria" w:hAnsi="Cambria" w:cs="Calibri"/>
                <w:color w:val="000000"/>
                <w:lang w:eastAsia="fr-FR"/>
              </w:rPr>
              <w:t>Hao</w:t>
            </w:r>
            <w:proofErr w:type="spellEnd"/>
          </w:p>
        </w:tc>
        <w:tc>
          <w:tcPr>
            <w:tcW w:w="5103" w:type="dxa"/>
            <w:tcBorders>
              <w:top w:val="nil"/>
              <w:left w:val="nil"/>
              <w:bottom w:val="single" w:sz="4" w:space="0" w:color="auto"/>
              <w:right w:val="single" w:sz="4" w:space="0" w:color="auto"/>
            </w:tcBorders>
            <w:shd w:val="clear" w:color="auto" w:fill="auto"/>
            <w:vAlign w:val="center"/>
            <w:hideMark/>
          </w:tcPr>
          <w:p w14:paraId="5759C319"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 remplacement des filtres à sable des osmoseurs</w:t>
            </w:r>
          </w:p>
        </w:tc>
        <w:tc>
          <w:tcPr>
            <w:tcW w:w="1701" w:type="dxa"/>
            <w:tcBorders>
              <w:top w:val="nil"/>
              <w:left w:val="nil"/>
              <w:bottom w:val="single" w:sz="4" w:space="0" w:color="auto"/>
              <w:right w:val="single" w:sz="4" w:space="0" w:color="auto"/>
            </w:tcBorders>
            <w:shd w:val="clear" w:color="auto" w:fill="auto"/>
            <w:vAlign w:val="center"/>
            <w:hideMark/>
          </w:tcPr>
          <w:p w14:paraId="299E7FCF"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764 500</w:t>
            </w:r>
          </w:p>
        </w:tc>
      </w:tr>
      <w:tr w:rsidR="00941768" w:rsidRPr="00B63E68" w14:paraId="32524ABB"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B3F59FD"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Collège de Makemo</w:t>
            </w:r>
          </w:p>
        </w:tc>
        <w:tc>
          <w:tcPr>
            <w:tcW w:w="5103" w:type="dxa"/>
            <w:tcBorders>
              <w:top w:val="nil"/>
              <w:left w:val="nil"/>
              <w:bottom w:val="single" w:sz="4" w:space="0" w:color="auto"/>
              <w:right w:val="single" w:sz="4" w:space="0" w:color="auto"/>
            </w:tcBorders>
            <w:shd w:val="clear" w:color="auto" w:fill="auto"/>
            <w:vAlign w:val="center"/>
            <w:hideMark/>
          </w:tcPr>
          <w:p w14:paraId="786C3631"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L'encadrement des élèves internes pendant la période de confinement</w:t>
            </w:r>
          </w:p>
        </w:tc>
        <w:tc>
          <w:tcPr>
            <w:tcW w:w="1701" w:type="dxa"/>
            <w:tcBorders>
              <w:top w:val="nil"/>
              <w:left w:val="nil"/>
              <w:bottom w:val="single" w:sz="4" w:space="0" w:color="auto"/>
              <w:right w:val="single" w:sz="4" w:space="0" w:color="auto"/>
            </w:tcBorders>
            <w:shd w:val="clear" w:color="auto" w:fill="auto"/>
            <w:vAlign w:val="center"/>
            <w:hideMark/>
          </w:tcPr>
          <w:p w14:paraId="6A67FC98"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378 200</w:t>
            </w:r>
          </w:p>
        </w:tc>
      </w:tr>
      <w:tr w:rsidR="00941768" w:rsidRPr="00B63E68" w14:paraId="17B94712"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1A09B6E9"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Collège de Rangiroa</w:t>
            </w:r>
          </w:p>
        </w:tc>
        <w:tc>
          <w:tcPr>
            <w:tcW w:w="5103" w:type="dxa"/>
            <w:tcBorders>
              <w:top w:val="nil"/>
              <w:left w:val="nil"/>
              <w:bottom w:val="single" w:sz="4" w:space="0" w:color="auto"/>
              <w:right w:val="single" w:sz="4" w:space="0" w:color="auto"/>
            </w:tcBorders>
            <w:shd w:val="clear" w:color="auto" w:fill="auto"/>
            <w:vAlign w:val="center"/>
            <w:hideMark/>
          </w:tcPr>
          <w:p w14:paraId="01BACD5C"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réparations des éléments métalliques des internats</w:t>
            </w:r>
          </w:p>
        </w:tc>
        <w:tc>
          <w:tcPr>
            <w:tcW w:w="1701" w:type="dxa"/>
            <w:tcBorders>
              <w:top w:val="nil"/>
              <w:left w:val="nil"/>
              <w:bottom w:val="single" w:sz="4" w:space="0" w:color="auto"/>
              <w:right w:val="single" w:sz="4" w:space="0" w:color="auto"/>
            </w:tcBorders>
            <w:shd w:val="clear" w:color="auto" w:fill="auto"/>
            <w:vAlign w:val="center"/>
            <w:hideMark/>
          </w:tcPr>
          <w:p w14:paraId="7664E530"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768 400</w:t>
            </w:r>
          </w:p>
        </w:tc>
      </w:tr>
      <w:tr w:rsidR="00941768" w:rsidRPr="00B63E68" w14:paraId="092C690D"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39E845D8"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ECC542D"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La fourniture d'eau potable</w:t>
            </w:r>
          </w:p>
        </w:tc>
        <w:tc>
          <w:tcPr>
            <w:tcW w:w="1701" w:type="dxa"/>
            <w:tcBorders>
              <w:top w:val="nil"/>
              <w:left w:val="nil"/>
              <w:bottom w:val="single" w:sz="4" w:space="0" w:color="auto"/>
              <w:right w:val="single" w:sz="4" w:space="0" w:color="auto"/>
            </w:tcBorders>
            <w:shd w:val="clear" w:color="auto" w:fill="auto"/>
            <w:vAlign w:val="center"/>
            <w:hideMark/>
          </w:tcPr>
          <w:p w14:paraId="1FC5FA9F"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410 412</w:t>
            </w:r>
          </w:p>
        </w:tc>
      </w:tr>
      <w:tr w:rsidR="00941768" w:rsidRPr="00B63E68" w14:paraId="6A22376E"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07C6CF8C" w14:textId="6673DE72"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w:t>
            </w:r>
            <w:proofErr w:type="spellStart"/>
            <w:r w:rsidRPr="00B63E68">
              <w:rPr>
                <w:rFonts w:ascii="Cambria" w:hAnsi="Cambria" w:cs="Calibri"/>
                <w:color w:val="000000"/>
                <w:lang w:eastAsia="fr-FR"/>
              </w:rPr>
              <w:t>Teriitua</w:t>
            </w:r>
            <w:proofErr w:type="spellEnd"/>
            <w:r w:rsidRPr="00B63E68">
              <w:rPr>
                <w:rFonts w:ascii="Cambria" w:hAnsi="Cambria" w:cs="Calibri"/>
                <w:color w:val="000000"/>
                <w:lang w:eastAsia="fr-FR"/>
              </w:rPr>
              <w:t xml:space="preserve"> A </w:t>
            </w:r>
            <w:proofErr w:type="spellStart"/>
            <w:r w:rsidRPr="00B63E68">
              <w:rPr>
                <w:rFonts w:ascii="Cambria" w:hAnsi="Cambria" w:cs="Calibri"/>
                <w:color w:val="000000"/>
                <w:lang w:eastAsia="fr-FR"/>
              </w:rPr>
              <w:t>T</w:t>
            </w:r>
            <w:r w:rsidR="00061790">
              <w:rPr>
                <w:rFonts w:ascii="Cambria" w:hAnsi="Cambria" w:cs="Calibri"/>
                <w:color w:val="000000"/>
                <w:lang w:eastAsia="fr-FR"/>
              </w:rPr>
              <w:t>eriierooiterai</w:t>
            </w:r>
            <w:proofErr w:type="spellEnd"/>
            <w:r w:rsidRPr="00B63E68">
              <w:rPr>
                <w:rFonts w:ascii="Cambria" w:hAnsi="Cambria" w:cs="Calibri"/>
                <w:color w:val="000000"/>
                <w:lang w:eastAsia="fr-FR"/>
              </w:rPr>
              <w:t xml:space="preserve"> de Paea</w:t>
            </w:r>
          </w:p>
        </w:tc>
        <w:tc>
          <w:tcPr>
            <w:tcW w:w="5103" w:type="dxa"/>
            <w:tcBorders>
              <w:top w:val="nil"/>
              <w:left w:val="nil"/>
              <w:bottom w:val="single" w:sz="4" w:space="0" w:color="auto"/>
              <w:right w:val="single" w:sz="4" w:space="0" w:color="auto"/>
            </w:tcBorders>
            <w:shd w:val="clear" w:color="auto" w:fill="auto"/>
            <w:vAlign w:val="center"/>
            <w:hideMark/>
          </w:tcPr>
          <w:p w14:paraId="7114EDB2"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 xml:space="preserve">Les dépenses liées à la mise en place du protocole </w:t>
            </w:r>
            <w:proofErr w:type="spellStart"/>
            <w:r w:rsidRPr="00B63E68">
              <w:rPr>
                <w:rFonts w:ascii="Cambria" w:hAnsi="Cambria" w:cs="Calibri"/>
                <w:color w:val="000000"/>
                <w:lang w:eastAsia="fr-FR"/>
              </w:rPr>
              <w:t>covid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AEFBC93"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790 680</w:t>
            </w:r>
          </w:p>
        </w:tc>
      </w:tr>
      <w:tr w:rsidR="00941768" w:rsidRPr="00B63E68" w14:paraId="22A19A80"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3DB5639C"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2BB19AE"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L'installation d'une armoire électrique</w:t>
            </w:r>
          </w:p>
        </w:tc>
        <w:tc>
          <w:tcPr>
            <w:tcW w:w="1701" w:type="dxa"/>
            <w:tcBorders>
              <w:top w:val="nil"/>
              <w:left w:val="nil"/>
              <w:bottom w:val="single" w:sz="4" w:space="0" w:color="auto"/>
              <w:right w:val="single" w:sz="4" w:space="0" w:color="auto"/>
            </w:tcBorders>
            <w:shd w:val="clear" w:color="auto" w:fill="auto"/>
            <w:vAlign w:val="center"/>
            <w:hideMark/>
          </w:tcPr>
          <w:p w14:paraId="0ED52964"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146 399</w:t>
            </w:r>
          </w:p>
        </w:tc>
      </w:tr>
      <w:tr w:rsidR="00941768" w:rsidRPr="00B63E68" w14:paraId="319D9CEC"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2CB0EAAE"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A27E84F"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L'installation de rideaux ignifugés</w:t>
            </w:r>
          </w:p>
        </w:tc>
        <w:tc>
          <w:tcPr>
            <w:tcW w:w="1701" w:type="dxa"/>
            <w:tcBorders>
              <w:top w:val="nil"/>
              <w:left w:val="nil"/>
              <w:bottom w:val="single" w:sz="4" w:space="0" w:color="auto"/>
              <w:right w:val="single" w:sz="4" w:space="0" w:color="auto"/>
            </w:tcBorders>
            <w:shd w:val="clear" w:color="auto" w:fill="auto"/>
            <w:vAlign w:val="center"/>
            <w:hideMark/>
          </w:tcPr>
          <w:p w14:paraId="0807E30A"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803 050</w:t>
            </w:r>
          </w:p>
        </w:tc>
      </w:tr>
      <w:tr w:rsidR="00941768" w:rsidRPr="00B63E68" w14:paraId="7469629C"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0699DC9C"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7B0FC1A"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travaux de mise en conformité électrique</w:t>
            </w:r>
          </w:p>
        </w:tc>
        <w:tc>
          <w:tcPr>
            <w:tcW w:w="1701" w:type="dxa"/>
            <w:tcBorders>
              <w:top w:val="nil"/>
              <w:left w:val="nil"/>
              <w:bottom w:val="single" w:sz="4" w:space="0" w:color="auto"/>
              <w:right w:val="single" w:sz="4" w:space="0" w:color="auto"/>
            </w:tcBorders>
            <w:shd w:val="clear" w:color="auto" w:fill="auto"/>
            <w:vAlign w:val="center"/>
            <w:hideMark/>
          </w:tcPr>
          <w:p w14:paraId="3BC44A76"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1 562 120</w:t>
            </w:r>
          </w:p>
        </w:tc>
      </w:tr>
      <w:tr w:rsidR="00941768" w:rsidRPr="00B63E68" w14:paraId="4E253766"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09F90166"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30B749F2"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 remplacement du grillage de sécurité de l'établissement</w:t>
            </w:r>
          </w:p>
        </w:tc>
        <w:tc>
          <w:tcPr>
            <w:tcW w:w="1701" w:type="dxa"/>
            <w:tcBorders>
              <w:top w:val="nil"/>
              <w:left w:val="nil"/>
              <w:bottom w:val="single" w:sz="4" w:space="0" w:color="auto"/>
              <w:right w:val="single" w:sz="4" w:space="0" w:color="auto"/>
            </w:tcBorders>
            <w:shd w:val="clear" w:color="auto" w:fill="auto"/>
            <w:vAlign w:val="center"/>
            <w:hideMark/>
          </w:tcPr>
          <w:p w14:paraId="029CA2FB"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1 741 895</w:t>
            </w:r>
          </w:p>
        </w:tc>
      </w:tr>
      <w:tr w:rsidR="00941768" w:rsidRPr="00B63E68" w14:paraId="07B622E9"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4CB1116"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Collège de Punaauia</w:t>
            </w:r>
          </w:p>
        </w:tc>
        <w:tc>
          <w:tcPr>
            <w:tcW w:w="5103" w:type="dxa"/>
            <w:tcBorders>
              <w:top w:val="nil"/>
              <w:left w:val="nil"/>
              <w:bottom w:val="single" w:sz="4" w:space="0" w:color="auto"/>
              <w:right w:val="single" w:sz="4" w:space="0" w:color="auto"/>
            </w:tcBorders>
            <w:shd w:val="clear" w:color="auto" w:fill="auto"/>
            <w:vAlign w:val="center"/>
            <w:hideMark/>
          </w:tcPr>
          <w:p w14:paraId="7D5B38FA"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 renouvellement du mobilier scolaire</w:t>
            </w:r>
          </w:p>
        </w:tc>
        <w:tc>
          <w:tcPr>
            <w:tcW w:w="1701" w:type="dxa"/>
            <w:tcBorders>
              <w:top w:val="nil"/>
              <w:left w:val="nil"/>
              <w:bottom w:val="single" w:sz="4" w:space="0" w:color="auto"/>
              <w:right w:val="single" w:sz="4" w:space="0" w:color="auto"/>
            </w:tcBorders>
            <w:shd w:val="clear" w:color="auto" w:fill="auto"/>
            <w:vAlign w:val="center"/>
            <w:hideMark/>
          </w:tcPr>
          <w:p w14:paraId="2FA5D3AB"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2 838 307</w:t>
            </w:r>
          </w:p>
        </w:tc>
      </w:tr>
      <w:tr w:rsidR="00941768" w:rsidRPr="00B63E68" w14:paraId="0960F114"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71660BAD"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de </w:t>
            </w:r>
            <w:proofErr w:type="spellStart"/>
            <w:r w:rsidRPr="00B63E68">
              <w:rPr>
                <w:rFonts w:ascii="Cambria" w:hAnsi="Cambria" w:cs="Calibri"/>
                <w:color w:val="000000"/>
                <w:lang w:eastAsia="fr-FR"/>
              </w:rPr>
              <w:t>Tipaerui</w:t>
            </w:r>
            <w:proofErr w:type="spellEnd"/>
          </w:p>
        </w:tc>
        <w:tc>
          <w:tcPr>
            <w:tcW w:w="5103" w:type="dxa"/>
            <w:tcBorders>
              <w:top w:val="nil"/>
              <w:left w:val="nil"/>
              <w:bottom w:val="single" w:sz="4" w:space="0" w:color="auto"/>
              <w:right w:val="single" w:sz="4" w:space="0" w:color="auto"/>
            </w:tcBorders>
            <w:shd w:val="clear" w:color="auto" w:fill="auto"/>
            <w:vAlign w:val="center"/>
            <w:hideMark/>
          </w:tcPr>
          <w:p w14:paraId="72DACD2D"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travaux de mise en conformité électrique</w:t>
            </w:r>
          </w:p>
        </w:tc>
        <w:tc>
          <w:tcPr>
            <w:tcW w:w="1701" w:type="dxa"/>
            <w:tcBorders>
              <w:top w:val="nil"/>
              <w:left w:val="nil"/>
              <w:bottom w:val="single" w:sz="4" w:space="0" w:color="auto"/>
              <w:right w:val="single" w:sz="4" w:space="0" w:color="auto"/>
            </w:tcBorders>
            <w:shd w:val="clear" w:color="auto" w:fill="auto"/>
            <w:vAlign w:val="center"/>
            <w:hideMark/>
          </w:tcPr>
          <w:p w14:paraId="4EFE35C0"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2 745 212</w:t>
            </w:r>
          </w:p>
        </w:tc>
      </w:tr>
      <w:tr w:rsidR="00941768" w:rsidRPr="00B63E68" w14:paraId="7B618027"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670D3613"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00E05E62"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La maintenance du parc informatique</w:t>
            </w:r>
          </w:p>
        </w:tc>
        <w:tc>
          <w:tcPr>
            <w:tcW w:w="1701" w:type="dxa"/>
            <w:tcBorders>
              <w:top w:val="nil"/>
              <w:left w:val="nil"/>
              <w:bottom w:val="single" w:sz="4" w:space="0" w:color="auto"/>
              <w:right w:val="single" w:sz="4" w:space="0" w:color="auto"/>
            </w:tcBorders>
            <w:shd w:val="clear" w:color="auto" w:fill="auto"/>
            <w:vAlign w:val="center"/>
            <w:hideMark/>
          </w:tcPr>
          <w:p w14:paraId="3A918329"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1 627 200</w:t>
            </w:r>
          </w:p>
        </w:tc>
      </w:tr>
      <w:tr w:rsidR="00941768" w:rsidRPr="00B63E68" w14:paraId="45AE3FD3"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67E4FAD" w14:textId="56D370D2"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Lycée Paul G</w:t>
            </w:r>
            <w:r w:rsidR="00061790">
              <w:rPr>
                <w:rFonts w:ascii="Cambria" w:hAnsi="Cambria" w:cs="Calibri"/>
                <w:color w:val="000000"/>
                <w:lang w:eastAsia="fr-FR"/>
              </w:rPr>
              <w:t>auguin</w:t>
            </w:r>
          </w:p>
        </w:tc>
        <w:tc>
          <w:tcPr>
            <w:tcW w:w="5103" w:type="dxa"/>
            <w:tcBorders>
              <w:top w:val="nil"/>
              <w:left w:val="nil"/>
              <w:bottom w:val="single" w:sz="4" w:space="0" w:color="auto"/>
              <w:right w:val="single" w:sz="4" w:space="0" w:color="auto"/>
            </w:tcBorders>
            <w:shd w:val="clear" w:color="auto" w:fill="auto"/>
            <w:vAlign w:val="center"/>
            <w:hideMark/>
          </w:tcPr>
          <w:p w14:paraId="16C39543"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 service d'aide à la configuration des tablettes à inclure dans le contrat d'infogérance</w:t>
            </w:r>
          </w:p>
        </w:tc>
        <w:tc>
          <w:tcPr>
            <w:tcW w:w="1701" w:type="dxa"/>
            <w:tcBorders>
              <w:top w:val="nil"/>
              <w:left w:val="nil"/>
              <w:bottom w:val="single" w:sz="4" w:space="0" w:color="auto"/>
              <w:right w:val="single" w:sz="4" w:space="0" w:color="auto"/>
            </w:tcBorders>
            <w:shd w:val="clear" w:color="auto" w:fill="auto"/>
            <w:vAlign w:val="center"/>
            <w:hideMark/>
          </w:tcPr>
          <w:p w14:paraId="6841F704"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955 000</w:t>
            </w:r>
          </w:p>
        </w:tc>
      </w:tr>
      <w:tr w:rsidR="00941768" w:rsidRPr="00B63E68" w14:paraId="1E0D236D"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8D366A8"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1160F2C"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 xml:space="preserve">Les dépenses liées à la mise en place du protocole </w:t>
            </w:r>
            <w:proofErr w:type="spellStart"/>
            <w:r w:rsidRPr="00B63E68">
              <w:rPr>
                <w:rFonts w:ascii="Cambria" w:hAnsi="Cambria" w:cs="Calibri"/>
                <w:color w:val="000000"/>
                <w:lang w:eastAsia="fr-FR"/>
              </w:rPr>
              <w:t>covid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6510A82"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800 000</w:t>
            </w:r>
          </w:p>
        </w:tc>
      </w:tr>
      <w:tr w:rsidR="00941768" w:rsidRPr="00B63E68" w14:paraId="3A35F4F8"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7914CC5C" w14:textId="09929AF8"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 xml:space="preserve">Collège </w:t>
            </w:r>
            <w:proofErr w:type="spellStart"/>
            <w:r w:rsidRPr="00B63E68">
              <w:rPr>
                <w:rFonts w:ascii="Cambria" w:hAnsi="Cambria" w:cs="Calibri"/>
                <w:color w:val="000000"/>
                <w:lang w:eastAsia="fr-FR"/>
              </w:rPr>
              <w:t>Maco</w:t>
            </w:r>
            <w:proofErr w:type="spellEnd"/>
            <w:r w:rsidRPr="00B63E68">
              <w:rPr>
                <w:rFonts w:ascii="Cambria" w:hAnsi="Cambria" w:cs="Calibri"/>
                <w:color w:val="000000"/>
                <w:lang w:eastAsia="fr-FR"/>
              </w:rPr>
              <w:t xml:space="preserve"> </w:t>
            </w:r>
            <w:proofErr w:type="spellStart"/>
            <w:r w:rsidRPr="00B63E68">
              <w:rPr>
                <w:rFonts w:ascii="Cambria" w:hAnsi="Cambria" w:cs="Calibri"/>
                <w:color w:val="000000"/>
                <w:lang w:eastAsia="fr-FR"/>
              </w:rPr>
              <w:t>T</w:t>
            </w:r>
            <w:r w:rsidR="00061790">
              <w:rPr>
                <w:rFonts w:ascii="Cambria" w:hAnsi="Cambria" w:cs="Calibri"/>
                <w:color w:val="000000"/>
                <w:lang w:eastAsia="fr-FR"/>
              </w:rPr>
              <w:t>evane</w:t>
            </w:r>
            <w:proofErr w:type="spellEnd"/>
          </w:p>
        </w:tc>
        <w:tc>
          <w:tcPr>
            <w:tcW w:w="5103" w:type="dxa"/>
            <w:tcBorders>
              <w:top w:val="nil"/>
              <w:left w:val="nil"/>
              <w:bottom w:val="single" w:sz="4" w:space="0" w:color="auto"/>
              <w:right w:val="single" w:sz="4" w:space="0" w:color="auto"/>
            </w:tcBorders>
            <w:shd w:val="clear" w:color="auto" w:fill="auto"/>
            <w:vAlign w:val="center"/>
            <w:hideMark/>
          </w:tcPr>
          <w:p w14:paraId="2DF0D55E"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 xml:space="preserve">Les dépenses liées à la mise en place du protocole </w:t>
            </w:r>
            <w:proofErr w:type="spellStart"/>
            <w:r w:rsidRPr="00B63E68">
              <w:rPr>
                <w:rFonts w:ascii="Cambria" w:hAnsi="Cambria" w:cs="Calibri"/>
                <w:color w:val="000000"/>
                <w:lang w:eastAsia="fr-FR"/>
              </w:rPr>
              <w:t>covid</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B363904"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726 466</w:t>
            </w:r>
          </w:p>
        </w:tc>
      </w:tr>
      <w:tr w:rsidR="00941768" w:rsidRPr="00B63E68" w14:paraId="6B41193D"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3038F82"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AA537A7"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travaux d'entretien du truck</w:t>
            </w:r>
          </w:p>
        </w:tc>
        <w:tc>
          <w:tcPr>
            <w:tcW w:w="1701" w:type="dxa"/>
            <w:tcBorders>
              <w:top w:val="nil"/>
              <w:left w:val="nil"/>
              <w:bottom w:val="single" w:sz="4" w:space="0" w:color="auto"/>
              <w:right w:val="single" w:sz="4" w:space="0" w:color="auto"/>
            </w:tcBorders>
            <w:shd w:val="clear" w:color="auto" w:fill="auto"/>
            <w:vAlign w:val="center"/>
            <w:hideMark/>
          </w:tcPr>
          <w:p w14:paraId="2F55022C"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935 546</w:t>
            </w:r>
          </w:p>
        </w:tc>
      </w:tr>
      <w:tr w:rsidR="00941768" w:rsidRPr="00B63E68" w14:paraId="05C72B3C"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3B722F66"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269127CF"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 transport scolaire</w:t>
            </w:r>
          </w:p>
        </w:tc>
        <w:tc>
          <w:tcPr>
            <w:tcW w:w="1701" w:type="dxa"/>
            <w:tcBorders>
              <w:top w:val="nil"/>
              <w:left w:val="nil"/>
              <w:bottom w:val="single" w:sz="4" w:space="0" w:color="auto"/>
              <w:right w:val="single" w:sz="4" w:space="0" w:color="auto"/>
            </w:tcBorders>
            <w:shd w:val="clear" w:color="auto" w:fill="auto"/>
            <w:vAlign w:val="center"/>
            <w:hideMark/>
          </w:tcPr>
          <w:p w14:paraId="29B0FC2E"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427 350</w:t>
            </w:r>
          </w:p>
        </w:tc>
      </w:tr>
      <w:tr w:rsidR="00941768" w:rsidRPr="00B63E68" w14:paraId="04873E93"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4D24AF4"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52924848"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travaux de carrelage</w:t>
            </w:r>
          </w:p>
        </w:tc>
        <w:tc>
          <w:tcPr>
            <w:tcW w:w="1701" w:type="dxa"/>
            <w:tcBorders>
              <w:top w:val="nil"/>
              <w:left w:val="nil"/>
              <w:bottom w:val="single" w:sz="4" w:space="0" w:color="auto"/>
              <w:right w:val="single" w:sz="4" w:space="0" w:color="auto"/>
            </w:tcBorders>
            <w:shd w:val="clear" w:color="auto" w:fill="auto"/>
            <w:vAlign w:val="center"/>
            <w:hideMark/>
          </w:tcPr>
          <w:p w14:paraId="50EBE399"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1 414 593</w:t>
            </w:r>
          </w:p>
        </w:tc>
      </w:tr>
      <w:tr w:rsidR="00941768" w:rsidRPr="00B63E68" w14:paraId="6D9D679B"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537846A6"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83B1F74"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L'acquisition de matériels pédagogiques pour la formation pré professionnelle</w:t>
            </w:r>
          </w:p>
        </w:tc>
        <w:tc>
          <w:tcPr>
            <w:tcW w:w="1701" w:type="dxa"/>
            <w:tcBorders>
              <w:top w:val="nil"/>
              <w:left w:val="nil"/>
              <w:bottom w:val="single" w:sz="4" w:space="0" w:color="auto"/>
              <w:right w:val="single" w:sz="4" w:space="0" w:color="auto"/>
            </w:tcBorders>
            <w:shd w:val="clear" w:color="auto" w:fill="auto"/>
            <w:vAlign w:val="center"/>
            <w:hideMark/>
          </w:tcPr>
          <w:p w14:paraId="1F32741E"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617 872</w:t>
            </w:r>
          </w:p>
        </w:tc>
      </w:tr>
      <w:tr w:rsidR="00941768" w:rsidRPr="00B63E68" w14:paraId="5C09F217"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A9C94CD"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74056119"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L'installation de serrures de portes à ouverture électronique</w:t>
            </w:r>
          </w:p>
        </w:tc>
        <w:tc>
          <w:tcPr>
            <w:tcW w:w="1701" w:type="dxa"/>
            <w:tcBorders>
              <w:top w:val="nil"/>
              <w:left w:val="nil"/>
              <w:bottom w:val="single" w:sz="4" w:space="0" w:color="auto"/>
              <w:right w:val="single" w:sz="4" w:space="0" w:color="auto"/>
            </w:tcBorders>
            <w:shd w:val="clear" w:color="auto" w:fill="auto"/>
            <w:vAlign w:val="center"/>
            <w:hideMark/>
          </w:tcPr>
          <w:p w14:paraId="0D6AFA1D"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694 400</w:t>
            </w:r>
          </w:p>
        </w:tc>
      </w:tr>
      <w:tr w:rsidR="00941768" w:rsidRPr="00B63E68" w14:paraId="36F73B0A"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0499481B"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076FEEEE"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Les travaux de finition des portes</w:t>
            </w:r>
          </w:p>
        </w:tc>
        <w:tc>
          <w:tcPr>
            <w:tcW w:w="1701" w:type="dxa"/>
            <w:tcBorders>
              <w:top w:val="nil"/>
              <w:left w:val="nil"/>
              <w:bottom w:val="single" w:sz="4" w:space="0" w:color="auto"/>
              <w:right w:val="single" w:sz="4" w:space="0" w:color="auto"/>
            </w:tcBorders>
            <w:shd w:val="clear" w:color="auto" w:fill="auto"/>
            <w:vAlign w:val="center"/>
            <w:hideMark/>
          </w:tcPr>
          <w:p w14:paraId="6C2DDFFF"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1 581 797</w:t>
            </w:r>
          </w:p>
        </w:tc>
      </w:tr>
      <w:tr w:rsidR="00941768" w:rsidRPr="00B63E68" w14:paraId="3429CE55"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5A0BCC8"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2772FCE"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L'achat de calculatrices scientifiques</w:t>
            </w:r>
          </w:p>
        </w:tc>
        <w:tc>
          <w:tcPr>
            <w:tcW w:w="1701" w:type="dxa"/>
            <w:tcBorders>
              <w:top w:val="nil"/>
              <w:left w:val="nil"/>
              <w:bottom w:val="single" w:sz="4" w:space="0" w:color="auto"/>
              <w:right w:val="single" w:sz="4" w:space="0" w:color="auto"/>
            </w:tcBorders>
            <w:shd w:val="clear" w:color="auto" w:fill="auto"/>
            <w:vAlign w:val="center"/>
            <w:hideMark/>
          </w:tcPr>
          <w:p w14:paraId="7171C1EE"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256 824</w:t>
            </w:r>
          </w:p>
        </w:tc>
      </w:tr>
      <w:tr w:rsidR="00941768" w:rsidRPr="00B63E68" w14:paraId="0DF09655"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42DD6AEB"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35BA39F"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 xml:space="preserve">Le remplacement des </w:t>
            </w:r>
            <w:proofErr w:type="spellStart"/>
            <w:r w:rsidRPr="00B63E68">
              <w:rPr>
                <w:rFonts w:ascii="Cambria" w:hAnsi="Cambria" w:cs="Calibri"/>
                <w:color w:val="000000"/>
                <w:lang w:eastAsia="fr-FR"/>
              </w:rPr>
              <w:t>switchs</w:t>
            </w:r>
            <w:proofErr w:type="spellEnd"/>
            <w:r w:rsidRPr="00B63E68">
              <w:rPr>
                <w:rFonts w:ascii="Cambria" w:hAnsi="Cambria" w:cs="Calibri"/>
                <w:color w:val="000000"/>
                <w:lang w:eastAsia="fr-FR"/>
              </w:rPr>
              <w:t xml:space="preserve"> de la salle informatique</w:t>
            </w:r>
          </w:p>
        </w:tc>
        <w:tc>
          <w:tcPr>
            <w:tcW w:w="1701" w:type="dxa"/>
            <w:tcBorders>
              <w:top w:val="nil"/>
              <w:left w:val="nil"/>
              <w:bottom w:val="single" w:sz="4" w:space="0" w:color="auto"/>
              <w:right w:val="single" w:sz="4" w:space="0" w:color="auto"/>
            </w:tcBorders>
            <w:shd w:val="clear" w:color="auto" w:fill="auto"/>
            <w:vAlign w:val="center"/>
            <w:hideMark/>
          </w:tcPr>
          <w:p w14:paraId="2DA0D3F8"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490 646</w:t>
            </w:r>
          </w:p>
        </w:tc>
      </w:tr>
      <w:tr w:rsidR="00941768" w:rsidRPr="00B63E68" w14:paraId="752EAA58" w14:textId="77777777" w:rsidTr="00F63FC8">
        <w:trPr>
          <w:trHeight w:val="315"/>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1C3E80F" w14:textId="77777777"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Lycée d’</w:t>
            </w:r>
            <w:proofErr w:type="spellStart"/>
            <w:r w:rsidRPr="00B63E68">
              <w:rPr>
                <w:rFonts w:ascii="Cambria" w:hAnsi="Cambria" w:cs="Calibri"/>
                <w:color w:val="000000"/>
                <w:lang w:eastAsia="fr-FR"/>
              </w:rPr>
              <w:t>Uturoa</w:t>
            </w:r>
            <w:proofErr w:type="spellEnd"/>
            <w:r w:rsidRPr="00B63E68">
              <w:rPr>
                <w:rFonts w:ascii="Cambria" w:hAnsi="Cambria" w:cs="Calibri"/>
                <w:color w:val="000000"/>
                <w:lang w:eastAsia="fr-FR"/>
              </w:rPr>
              <w:t xml:space="preserve"> - Raiatea</w:t>
            </w:r>
          </w:p>
        </w:tc>
        <w:tc>
          <w:tcPr>
            <w:tcW w:w="5103" w:type="dxa"/>
            <w:tcBorders>
              <w:top w:val="nil"/>
              <w:left w:val="nil"/>
              <w:bottom w:val="single" w:sz="4" w:space="0" w:color="auto"/>
              <w:right w:val="single" w:sz="4" w:space="0" w:color="auto"/>
            </w:tcBorders>
            <w:shd w:val="clear" w:color="auto" w:fill="auto"/>
            <w:vAlign w:val="center"/>
            <w:hideMark/>
          </w:tcPr>
          <w:p w14:paraId="33AA7598" w14:textId="77777777" w:rsidR="00941768" w:rsidRPr="00B63E68" w:rsidRDefault="00941768" w:rsidP="00F63FC8">
            <w:pPr>
              <w:jc w:val="both"/>
              <w:rPr>
                <w:rFonts w:ascii="Cambria" w:hAnsi="Cambria" w:cs="Calibri"/>
                <w:color w:val="000000"/>
                <w:lang w:eastAsia="fr-FR"/>
              </w:rPr>
            </w:pPr>
            <w:r w:rsidRPr="00B63E68">
              <w:rPr>
                <w:rFonts w:ascii="Cambria" w:hAnsi="Cambria" w:cs="Calibri"/>
                <w:color w:val="000000"/>
                <w:lang w:eastAsia="fr-FR"/>
              </w:rPr>
              <w:t>La rénovation du réseau internet</w:t>
            </w:r>
          </w:p>
        </w:tc>
        <w:tc>
          <w:tcPr>
            <w:tcW w:w="1701" w:type="dxa"/>
            <w:tcBorders>
              <w:top w:val="nil"/>
              <w:left w:val="nil"/>
              <w:bottom w:val="single" w:sz="4" w:space="0" w:color="auto"/>
              <w:right w:val="single" w:sz="4" w:space="0" w:color="auto"/>
            </w:tcBorders>
            <w:shd w:val="clear" w:color="auto" w:fill="auto"/>
            <w:vAlign w:val="center"/>
            <w:hideMark/>
          </w:tcPr>
          <w:p w14:paraId="2D6E2282"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1 468 794</w:t>
            </w:r>
          </w:p>
        </w:tc>
      </w:tr>
      <w:tr w:rsidR="00941768" w:rsidRPr="00B63E68" w14:paraId="63327C38"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1A49D8FF"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1E167F30"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le</w:t>
            </w:r>
            <w:proofErr w:type="gramEnd"/>
            <w:r w:rsidRPr="00B63E68">
              <w:rPr>
                <w:rFonts w:ascii="Cambria" w:hAnsi="Cambria" w:cs="Calibri"/>
                <w:color w:val="000000"/>
                <w:lang w:eastAsia="fr-FR"/>
              </w:rPr>
              <w:t xml:space="preserve"> renouvellement de petits matériels de cuisine</w:t>
            </w:r>
          </w:p>
        </w:tc>
        <w:tc>
          <w:tcPr>
            <w:tcW w:w="1701" w:type="dxa"/>
            <w:tcBorders>
              <w:top w:val="nil"/>
              <w:left w:val="nil"/>
              <w:bottom w:val="single" w:sz="4" w:space="0" w:color="auto"/>
              <w:right w:val="single" w:sz="4" w:space="0" w:color="auto"/>
            </w:tcBorders>
            <w:shd w:val="clear" w:color="auto" w:fill="auto"/>
            <w:vAlign w:val="center"/>
            <w:hideMark/>
          </w:tcPr>
          <w:p w14:paraId="601A1207"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1 028 237</w:t>
            </w:r>
          </w:p>
        </w:tc>
      </w:tr>
      <w:tr w:rsidR="00941768" w:rsidRPr="00B63E68" w14:paraId="6C3E6901"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22D45CD8"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7FA7E8B"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le</w:t>
            </w:r>
            <w:proofErr w:type="gramEnd"/>
            <w:r w:rsidRPr="00B63E68">
              <w:rPr>
                <w:rFonts w:ascii="Cambria" w:hAnsi="Cambria" w:cs="Calibri"/>
                <w:color w:val="000000"/>
                <w:lang w:eastAsia="fr-FR"/>
              </w:rPr>
              <w:t xml:space="preserve"> renouvellement de mobilier scolaire</w:t>
            </w:r>
          </w:p>
        </w:tc>
        <w:tc>
          <w:tcPr>
            <w:tcW w:w="1701" w:type="dxa"/>
            <w:tcBorders>
              <w:top w:val="nil"/>
              <w:left w:val="nil"/>
              <w:bottom w:val="single" w:sz="4" w:space="0" w:color="auto"/>
              <w:right w:val="single" w:sz="4" w:space="0" w:color="auto"/>
            </w:tcBorders>
            <w:shd w:val="clear" w:color="auto" w:fill="auto"/>
            <w:vAlign w:val="center"/>
            <w:hideMark/>
          </w:tcPr>
          <w:p w14:paraId="6FD57D8C"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2 338 838</w:t>
            </w:r>
          </w:p>
        </w:tc>
      </w:tr>
      <w:tr w:rsidR="00941768" w:rsidRPr="00B63E68" w14:paraId="4A90B035" w14:textId="77777777" w:rsidTr="00F63FC8">
        <w:trPr>
          <w:trHeight w:val="315"/>
        </w:trPr>
        <w:tc>
          <w:tcPr>
            <w:tcW w:w="2263" w:type="dxa"/>
            <w:vMerge/>
            <w:tcBorders>
              <w:top w:val="nil"/>
              <w:left w:val="single" w:sz="4" w:space="0" w:color="auto"/>
              <w:bottom w:val="single" w:sz="4" w:space="0" w:color="auto"/>
              <w:right w:val="single" w:sz="4" w:space="0" w:color="auto"/>
            </w:tcBorders>
            <w:vAlign w:val="center"/>
            <w:hideMark/>
          </w:tcPr>
          <w:p w14:paraId="314F4306" w14:textId="77777777" w:rsidR="00941768" w:rsidRPr="00B63E68" w:rsidRDefault="00941768" w:rsidP="00F63FC8">
            <w:pPr>
              <w:rPr>
                <w:rFonts w:ascii="Cambria" w:hAnsi="Cambria" w:cs="Calibri"/>
                <w:color w:val="000000"/>
                <w:lang w:eastAsia="fr-FR"/>
              </w:rPr>
            </w:pPr>
          </w:p>
        </w:tc>
        <w:tc>
          <w:tcPr>
            <w:tcW w:w="5103" w:type="dxa"/>
            <w:tcBorders>
              <w:top w:val="nil"/>
              <w:left w:val="nil"/>
              <w:bottom w:val="single" w:sz="4" w:space="0" w:color="auto"/>
              <w:right w:val="single" w:sz="4" w:space="0" w:color="auto"/>
            </w:tcBorders>
            <w:shd w:val="clear" w:color="auto" w:fill="auto"/>
            <w:vAlign w:val="center"/>
            <w:hideMark/>
          </w:tcPr>
          <w:p w14:paraId="48CB1A2A"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le</w:t>
            </w:r>
            <w:proofErr w:type="gramEnd"/>
            <w:r w:rsidRPr="00B63E68">
              <w:rPr>
                <w:rFonts w:ascii="Cambria" w:hAnsi="Cambria" w:cs="Calibri"/>
                <w:color w:val="000000"/>
                <w:lang w:eastAsia="fr-FR"/>
              </w:rPr>
              <w:t xml:space="preserve"> traitement d'infiltration d'eau et les travaux de rénovation de la salle de musique</w:t>
            </w:r>
          </w:p>
        </w:tc>
        <w:tc>
          <w:tcPr>
            <w:tcW w:w="1701" w:type="dxa"/>
            <w:tcBorders>
              <w:top w:val="nil"/>
              <w:left w:val="nil"/>
              <w:bottom w:val="single" w:sz="4" w:space="0" w:color="auto"/>
              <w:right w:val="single" w:sz="4" w:space="0" w:color="auto"/>
            </w:tcBorders>
            <w:shd w:val="clear" w:color="auto" w:fill="auto"/>
            <w:vAlign w:val="center"/>
            <w:hideMark/>
          </w:tcPr>
          <w:p w14:paraId="32B7A70F"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1 604 898</w:t>
            </w:r>
          </w:p>
        </w:tc>
      </w:tr>
      <w:tr w:rsidR="00941768" w:rsidRPr="00B63E68" w14:paraId="6D5CDE38" w14:textId="77777777" w:rsidTr="00F63FC8">
        <w:trPr>
          <w:trHeight w:val="31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BC4BF37" w14:textId="0A20AD4C" w:rsidR="00941768" w:rsidRPr="00B63E68" w:rsidRDefault="00941768" w:rsidP="00F63FC8">
            <w:pPr>
              <w:jc w:val="center"/>
              <w:rPr>
                <w:rFonts w:ascii="Cambria" w:hAnsi="Cambria" w:cs="Calibri"/>
                <w:color w:val="000000"/>
                <w:lang w:eastAsia="fr-FR"/>
              </w:rPr>
            </w:pPr>
            <w:r w:rsidRPr="00B63E68">
              <w:rPr>
                <w:rFonts w:ascii="Cambria" w:hAnsi="Cambria" w:cs="Calibri"/>
                <w:color w:val="000000"/>
                <w:lang w:eastAsia="fr-FR"/>
              </w:rPr>
              <w:t>Collège Henri</w:t>
            </w:r>
            <w:r w:rsidR="00061790">
              <w:rPr>
                <w:rFonts w:ascii="Cambria" w:hAnsi="Cambria" w:cs="Calibri"/>
                <w:color w:val="000000"/>
                <w:lang w:eastAsia="fr-FR"/>
              </w:rPr>
              <w:t xml:space="preserve"> </w:t>
            </w:r>
            <w:r w:rsidRPr="00B63E68">
              <w:rPr>
                <w:rFonts w:ascii="Cambria" w:hAnsi="Cambria" w:cs="Calibri"/>
                <w:color w:val="000000"/>
                <w:lang w:eastAsia="fr-FR"/>
              </w:rPr>
              <w:t>Hiro</w:t>
            </w:r>
          </w:p>
        </w:tc>
        <w:tc>
          <w:tcPr>
            <w:tcW w:w="5103" w:type="dxa"/>
            <w:tcBorders>
              <w:top w:val="nil"/>
              <w:left w:val="nil"/>
              <w:bottom w:val="single" w:sz="4" w:space="0" w:color="auto"/>
              <w:right w:val="single" w:sz="4" w:space="0" w:color="auto"/>
            </w:tcBorders>
            <w:shd w:val="clear" w:color="auto" w:fill="auto"/>
            <w:vAlign w:val="center"/>
            <w:hideMark/>
          </w:tcPr>
          <w:p w14:paraId="35E87247" w14:textId="77777777" w:rsidR="00941768" w:rsidRPr="00B63E68" w:rsidRDefault="00941768" w:rsidP="00F63FC8">
            <w:pPr>
              <w:rPr>
                <w:rFonts w:ascii="Cambria" w:hAnsi="Cambria" w:cs="Calibri"/>
                <w:color w:val="000000"/>
                <w:lang w:eastAsia="fr-FR"/>
              </w:rPr>
            </w:pPr>
            <w:proofErr w:type="gramStart"/>
            <w:r w:rsidRPr="00B63E68">
              <w:rPr>
                <w:rFonts w:ascii="Cambria" w:hAnsi="Cambria" w:cs="Calibri"/>
                <w:color w:val="000000"/>
                <w:lang w:eastAsia="fr-FR"/>
              </w:rPr>
              <w:t>la</w:t>
            </w:r>
            <w:proofErr w:type="gramEnd"/>
            <w:r w:rsidRPr="00B63E68">
              <w:rPr>
                <w:rFonts w:ascii="Cambria" w:hAnsi="Cambria" w:cs="Calibri"/>
                <w:color w:val="000000"/>
                <w:lang w:eastAsia="fr-FR"/>
              </w:rPr>
              <w:t xml:space="preserve"> réalisation d'une fresque murale artistique</w:t>
            </w:r>
          </w:p>
        </w:tc>
        <w:tc>
          <w:tcPr>
            <w:tcW w:w="1701" w:type="dxa"/>
            <w:tcBorders>
              <w:top w:val="nil"/>
              <w:left w:val="nil"/>
              <w:bottom w:val="single" w:sz="4" w:space="0" w:color="auto"/>
              <w:right w:val="single" w:sz="4" w:space="0" w:color="auto"/>
            </w:tcBorders>
            <w:shd w:val="clear" w:color="auto" w:fill="auto"/>
            <w:vAlign w:val="center"/>
            <w:hideMark/>
          </w:tcPr>
          <w:p w14:paraId="3174EAB5" w14:textId="77777777" w:rsidR="00941768" w:rsidRPr="00B63E68" w:rsidRDefault="00941768" w:rsidP="00F63FC8">
            <w:pPr>
              <w:jc w:val="right"/>
              <w:rPr>
                <w:rFonts w:ascii="Cambria" w:hAnsi="Cambria" w:cs="Calibri"/>
                <w:color w:val="000000"/>
                <w:lang w:eastAsia="fr-FR"/>
              </w:rPr>
            </w:pPr>
            <w:r w:rsidRPr="00B63E68">
              <w:rPr>
                <w:rFonts w:ascii="Cambria" w:hAnsi="Cambria" w:cs="Calibri"/>
                <w:color w:val="000000"/>
                <w:lang w:eastAsia="fr-FR"/>
              </w:rPr>
              <w:t>1 937 880</w:t>
            </w:r>
          </w:p>
        </w:tc>
      </w:tr>
    </w:tbl>
    <w:p w14:paraId="5D31F403" w14:textId="77777777" w:rsidR="00941768" w:rsidRDefault="00941768" w:rsidP="00941768">
      <w:pPr>
        <w:pStyle w:val="NormalWeb"/>
        <w:jc w:val="both"/>
        <w:rPr>
          <w:rFonts w:ascii="Cambria" w:hAnsi="Cambria"/>
        </w:rPr>
      </w:pPr>
    </w:p>
    <w:p w14:paraId="1EC5FA97" w14:textId="606B0981" w:rsidR="00941768" w:rsidRDefault="00941768" w:rsidP="00941768">
      <w:pPr>
        <w:pStyle w:val="NormalWeb"/>
        <w:jc w:val="both"/>
        <w:rPr>
          <w:rFonts w:ascii="Cambria" w:hAnsi="Cambria"/>
        </w:rPr>
      </w:pPr>
      <w:r w:rsidRPr="00B63E68">
        <w:rPr>
          <w:rFonts w:ascii="Cambria" w:hAnsi="Cambria"/>
        </w:rPr>
        <w:t>Par ailleurs, le Conseil des ministres a également approuvé plusieurs subventions en faveur d’établissements publics d’enseignement de la Polynésie française pour financer les actions menées au titre du fonds social collégien et lycéen (FSCL) et ce pour les établissements suivants :</w:t>
      </w:r>
    </w:p>
    <w:p w14:paraId="055881B8" w14:textId="77777777" w:rsidR="00941768" w:rsidRPr="00B63E68" w:rsidRDefault="00941768" w:rsidP="00941768">
      <w:pPr>
        <w:pStyle w:val="NormalWeb"/>
        <w:jc w:val="both"/>
        <w:rPr>
          <w:rFonts w:ascii="Cambria" w:hAnsi="Cambria"/>
        </w:rPr>
      </w:pPr>
    </w:p>
    <w:tbl>
      <w:tblPr>
        <w:tblW w:w="6658" w:type="dxa"/>
        <w:jc w:val="center"/>
        <w:tblCellMar>
          <w:left w:w="70" w:type="dxa"/>
          <w:right w:w="70" w:type="dxa"/>
        </w:tblCellMar>
        <w:tblLook w:val="04A0" w:firstRow="1" w:lastRow="0" w:firstColumn="1" w:lastColumn="0" w:noHBand="0" w:noVBand="1"/>
      </w:tblPr>
      <w:tblGrid>
        <w:gridCol w:w="4640"/>
        <w:gridCol w:w="2018"/>
      </w:tblGrid>
      <w:tr w:rsidR="00941768" w:rsidRPr="00507F0C" w14:paraId="2886ADCE" w14:textId="77777777" w:rsidTr="00296DDB">
        <w:trPr>
          <w:trHeight w:val="315"/>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2A3B" w14:textId="77777777" w:rsidR="00941768" w:rsidRPr="00507F0C" w:rsidRDefault="00941768" w:rsidP="00F63FC8">
            <w:pPr>
              <w:jc w:val="center"/>
              <w:rPr>
                <w:rFonts w:ascii="Cambria" w:hAnsi="Cambria" w:cs="Calibri"/>
                <w:b/>
                <w:bCs/>
                <w:color w:val="000000"/>
                <w:lang w:eastAsia="fr-FR"/>
              </w:rPr>
            </w:pPr>
            <w:r w:rsidRPr="00507F0C">
              <w:rPr>
                <w:rFonts w:ascii="Cambria" w:hAnsi="Cambria" w:cs="Calibri"/>
                <w:b/>
                <w:bCs/>
                <w:color w:val="000000"/>
                <w:lang w:eastAsia="fr-FR"/>
              </w:rPr>
              <w:t>Bénéficiaire</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14:paraId="07BAE8EE" w14:textId="6529777E" w:rsidR="00941768" w:rsidRPr="00507F0C" w:rsidRDefault="00941768" w:rsidP="00296DDB">
            <w:pPr>
              <w:jc w:val="center"/>
              <w:rPr>
                <w:rFonts w:ascii="Cambria" w:hAnsi="Cambria" w:cs="Calibri"/>
                <w:b/>
                <w:bCs/>
                <w:color w:val="000000"/>
                <w:lang w:eastAsia="fr-FR"/>
              </w:rPr>
            </w:pPr>
            <w:r w:rsidRPr="00507F0C">
              <w:rPr>
                <w:rFonts w:ascii="Cambria" w:hAnsi="Cambria" w:cs="Calibri"/>
                <w:b/>
                <w:bCs/>
                <w:color w:val="000000"/>
                <w:lang w:eastAsia="fr-FR"/>
              </w:rPr>
              <w:t>Montant</w:t>
            </w:r>
            <w:r w:rsidR="00296DDB">
              <w:rPr>
                <w:rFonts w:ascii="Cambria" w:hAnsi="Cambria" w:cs="Calibri"/>
                <w:b/>
                <w:bCs/>
                <w:color w:val="000000"/>
                <w:lang w:eastAsia="fr-FR"/>
              </w:rPr>
              <w:t xml:space="preserve"> </w:t>
            </w:r>
            <w:r w:rsidRPr="00507F0C">
              <w:rPr>
                <w:rFonts w:ascii="Cambria" w:hAnsi="Cambria" w:cs="Calibri"/>
                <w:b/>
                <w:bCs/>
                <w:color w:val="000000"/>
                <w:lang w:eastAsia="fr-FR"/>
              </w:rPr>
              <w:t xml:space="preserve">en </w:t>
            </w:r>
            <w:proofErr w:type="spellStart"/>
            <w:r w:rsidRPr="00507F0C">
              <w:rPr>
                <w:rFonts w:ascii="Cambria" w:hAnsi="Cambria" w:cs="Calibri"/>
                <w:b/>
                <w:bCs/>
                <w:color w:val="000000"/>
                <w:lang w:eastAsia="fr-FR"/>
              </w:rPr>
              <w:t>Fcfp</w:t>
            </w:r>
            <w:proofErr w:type="spellEnd"/>
          </w:p>
        </w:tc>
      </w:tr>
      <w:tr w:rsidR="00941768" w:rsidRPr="00507F0C" w14:paraId="318EDE94"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51C68C48"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de Afareaitu - Moorea</w:t>
            </w:r>
          </w:p>
        </w:tc>
        <w:tc>
          <w:tcPr>
            <w:tcW w:w="2018" w:type="dxa"/>
            <w:tcBorders>
              <w:top w:val="nil"/>
              <w:left w:val="nil"/>
              <w:bottom w:val="single" w:sz="4" w:space="0" w:color="auto"/>
              <w:right w:val="single" w:sz="4" w:space="0" w:color="auto"/>
            </w:tcBorders>
            <w:shd w:val="clear" w:color="auto" w:fill="auto"/>
            <w:vAlign w:val="center"/>
            <w:hideMark/>
          </w:tcPr>
          <w:p w14:paraId="490074D5"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1 701 300</w:t>
            </w:r>
          </w:p>
        </w:tc>
      </w:tr>
      <w:tr w:rsidR="00941768" w:rsidRPr="00507F0C" w14:paraId="78FF0CE6"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50FDAD61"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w:t>
            </w:r>
            <w:proofErr w:type="spellStart"/>
            <w:r w:rsidRPr="00507F0C">
              <w:rPr>
                <w:rFonts w:ascii="Cambria" w:hAnsi="Cambria" w:cs="Calibri"/>
                <w:color w:val="000000"/>
                <w:lang w:eastAsia="fr-FR"/>
              </w:rPr>
              <w:t>Arue</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2EF1455F"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1 581 770</w:t>
            </w:r>
          </w:p>
        </w:tc>
      </w:tr>
      <w:tr w:rsidR="00941768" w:rsidRPr="00507F0C" w14:paraId="24DD98BB"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B9EC704"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de Atuona</w:t>
            </w:r>
          </w:p>
        </w:tc>
        <w:tc>
          <w:tcPr>
            <w:tcW w:w="2018" w:type="dxa"/>
            <w:tcBorders>
              <w:top w:val="nil"/>
              <w:left w:val="nil"/>
              <w:bottom w:val="single" w:sz="4" w:space="0" w:color="auto"/>
              <w:right w:val="single" w:sz="4" w:space="0" w:color="auto"/>
            </w:tcBorders>
            <w:shd w:val="clear" w:color="auto" w:fill="auto"/>
            <w:vAlign w:val="center"/>
            <w:hideMark/>
          </w:tcPr>
          <w:p w14:paraId="4545E135"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2 975 600</w:t>
            </w:r>
          </w:p>
        </w:tc>
      </w:tr>
      <w:tr w:rsidR="00941768" w:rsidRPr="00507F0C" w14:paraId="48C93115"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438F5AE"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Hao</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7835F371"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2 297 900</w:t>
            </w:r>
          </w:p>
        </w:tc>
      </w:tr>
      <w:tr w:rsidR="00941768" w:rsidRPr="00507F0C" w14:paraId="310C48A9"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96CD65B"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Faaroa</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0F685833"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2 362 000</w:t>
            </w:r>
          </w:p>
        </w:tc>
      </w:tr>
      <w:tr w:rsidR="00941768" w:rsidRPr="00507F0C" w14:paraId="2387DFC0"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F4C54B6"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Henri-Hiro</w:t>
            </w:r>
          </w:p>
        </w:tc>
        <w:tc>
          <w:tcPr>
            <w:tcW w:w="2018" w:type="dxa"/>
            <w:tcBorders>
              <w:top w:val="nil"/>
              <w:left w:val="nil"/>
              <w:bottom w:val="single" w:sz="4" w:space="0" w:color="auto"/>
              <w:right w:val="single" w:sz="4" w:space="0" w:color="auto"/>
            </w:tcBorders>
            <w:shd w:val="clear" w:color="auto" w:fill="auto"/>
            <w:vAlign w:val="center"/>
            <w:hideMark/>
          </w:tcPr>
          <w:p w14:paraId="6E5A915F"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2 351 500</w:t>
            </w:r>
          </w:p>
        </w:tc>
      </w:tr>
      <w:tr w:rsidR="00941768" w:rsidRPr="00507F0C" w14:paraId="1227ECFE"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E9F9481"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Hitia'a</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3B10E4D7"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1 281 000</w:t>
            </w:r>
          </w:p>
        </w:tc>
      </w:tr>
      <w:tr w:rsidR="00941768" w:rsidRPr="00507F0C" w14:paraId="71153C62"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0BB7A6E"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Mahina</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5354A39A"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2 251 200</w:t>
            </w:r>
          </w:p>
        </w:tc>
      </w:tr>
      <w:tr w:rsidR="00941768" w:rsidRPr="00507F0C" w14:paraId="5CE88B44"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56BA7BF4"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de Makemo</w:t>
            </w:r>
          </w:p>
        </w:tc>
        <w:tc>
          <w:tcPr>
            <w:tcW w:w="2018" w:type="dxa"/>
            <w:tcBorders>
              <w:top w:val="nil"/>
              <w:left w:val="nil"/>
              <w:bottom w:val="single" w:sz="4" w:space="0" w:color="auto"/>
              <w:right w:val="single" w:sz="4" w:space="0" w:color="auto"/>
            </w:tcBorders>
            <w:shd w:val="clear" w:color="auto" w:fill="auto"/>
            <w:vAlign w:val="center"/>
            <w:hideMark/>
          </w:tcPr>
          <w:p w14:paraId="4B321F53"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1 409 600</w:t>
            </w:r>
          </w:p>
        </w:tc>
      </w:tr>
      <w:tr w:rsidR="00941768" w:rsidRPr="00507F0C" w14:paraId="265D37E6"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033A0EB"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Mataura</w:t>
            </w:r>
            <w:proofErr w:type="spellEnd"/>
            <w:r w:rsidRPr="00507F0C">
              <w:rPr>
                <w:rFonts w:ascii="Cambria" w:hAnsi="Cambria" w:cs="Calibri"/>
                <w:color w:val="000000"/>
                <w:lang w:eastAsia="fr-FR"/>
              </w:rPr>
              <w:t xml:space="preserve"> - Tubuai</w:t>
            </w:r>
          </w:p>
        </w:tc>
        <w:tc>
          <w:tcPr>
            <w:tcW w:w="2018" w:type="dxa"/>
            <w:tcBorders>
              <w:top w:val="nil"/>
              <w:left w:val="nil"/>
              <w:bottom w:val="single" w:sz="4" w:space="0" w:color="auto"/>
              <w:right w:val="single" w:sz="4" w:space="0" w:color="auto"/>
            </w:tcBorders>
            <w:shd w:val="clear" w:color="auto" w:fill="auto"/>
            <w:vAlign w:val="center"/>
            <w:hideMark/>
          </w:tcPr>
          <w:p w14:paraId="37B142D2"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1 596 000</w:t>
            </w:r>
          </w:p>
        </w:tc>
      </w:tr>
      <w:tr w:rsidR="00941768" w:rsidRPr="00507F0C" w14:paraId="4A2FE97F"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1364294"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de Punaauia</w:t>
            </w:r>
          </w:p>
        </w:tc>
        <w:tc>
          <w:tcPr>
            <w:tcW w:w="2018" w:type="dxa"/>
            <w:tcBorders>
              <w:top w:val="nil"/>
              <w:left w:val="nil"/>
              <w:bottom w:val="single" w:sz="4" w:space="0" w:color="auto"/>
              <w:right w:val="single" w:sz="4" w:space="0" w:color="auto"/>
            </w:tcBorders>
            <w:shd w:val="clear" w:color="auto" w:fill="auto"/>
            <w:vAlign w:val="center"/>
            <w:hideMark/>
          </w:tcPr>
          <w:p w14:paraId="79A5014D"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1 930 300</w:t>
            </w:r>
          </w:p>
        </w:tc>
      </w:tr>
      <w:tr w:rsidR="00941768" w:rsidRPr="00507F0C" w14:paraId="1E99718C"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B1D9729"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Collège de Rangiroa</w:t>
            </w:r>
          </w:p>
        </w:tc>
        <w:tc>
          <w:tcPr>
            <w:tcW w:w="2018" w:type="dxa"/>
            <w:tcBorders>
              <w:top w:val="nil"/>
              <w:left w:val="nil"/>
              <w:bottom w:val="single" w:sz="4" w:space="0" w:color="auto"/>
              <w:right w:val="single" w:sz="4" w:space="0" w:color="auto"/>
            </w:tcBorders>
            <w:shd w:val="clear" w:color="auto" w:fill="auto"/>
            <w:vAlign w:val="center"/>
            <w:hideMark/>
          </w:tcPr>
          <w:p w14:paraId="293CDA8F"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1 798 500</w:t>
            </w:r>
          </w:p>
        </w:tc>
      </w:tr>
      <w:tr w:rsidR="00941768" w:rsidRPr="00507F0C" w14:paraId="4505F651"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7FA5DA47"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Moerai</w:t>
            </w:r>
            <w:proofErr w:type="spellEnd"/>
            <w:r w:rsidRPr="00507F0C">
              <w:rPr>
                <w:rFonts w:ascii="Cambria" w:hAnsi="Cambria" w:cs="Calibri"/>
                <w:color w:val="000000"/>
                <w:lang w:eastAsia="fr-FR"/>
              </w:rPr>
              <w:t xml:space="preserve"> - Rurutu</w:t>
            </w:r>
          </w:p>
        </w:tc>
        <w:tc>
          <w:tcPr>
            <w:tcW w:w="2018" w:type="dxa"/>
            <w:tcBorders>
              <w:top w:val="nil"/>
              <w:left w:val="nil"/>
              <w:bottom w:val="single" w:sz="4" w:space="0" w:color="auto"/>
              <w:right w:val="single" w:sz="4" w:space="0" w:color="auto"/>
            </w:tcBorders>
            <w:shd w:val="clear" w:color="auto" w:fill="auto"/>
            <w:vAlign w:val="center"/>
            <w:hideMark/>
          </w:tcPr>
          <w:p w14:paraId="18B3CE81"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907 200</w:t>
            </w:r>
          </w:p>
        </w:tc>
      </w:tr>
      <w:tr w:rsidR="00941768" w:rsidRPr="00507F0C" w14:paraId="3A17CC2F"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C757E5"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Haamene</w:t>
            </w:r>
            <w:proofErr w:type="spellEnd"/>
            <w:r w:rsidRPr="00507F0C">
              <w:rPr>
                <w:rFonts w:ascii="Cambria" w:hAnsi="Cambria" w:cs="Calibri"/>
                <w:color w:val="000000"/>
                <w:lang w:eastAsia="fr-FR"/>
              </w:rPr>
              <w:t xml:space="preserve"> - Tahaa</w:t>
            </w:r>
          </w:p>
        </w:tc>
        <w:tc>
          <w:tcPr>
            <w:tcW w:w="2018" w:type="dxa"/>
            <w:tcBorders>
              <w:top w:val="nil"/>
              <w:left w:val="nil"/>
              <w:bottom w:val="single" w:sz="4" w:space="0" w:color="auto"/>
              <w:right w:val="single" w:sz="4" w:space="0" w:color="auto"/>
            </w:tcBorders>
            <w:shd w:val="clear" w:color="auto" w:fill="auto"/>
            <w:vAlign w:val="center"/>
            <w:hideMark/>
          </w:tcPr>
          <w:p w14:paraId="4A83B732"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1 019 300</w:t>
            </w:r>
          </w:p>
        </w:tc>
      </w:tr>
      <w:tr w:rsidR="00941768" w:rsidRPr="00507F0C" w14:paraId="5F2FA02B"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E010ACE"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Taiohae</w:t>
            </w:r>
            <w:proofErr w:type="spellEnd"/>
            <w:r w:rsidRPr="00507F0C">
              <w:rPr>
                <w:rFonts w:ascii="Cambria" w:hAnsi="Cambria" w:cs="Calibri"/>
                <w:color w:val="000000"/>
                <w:lang w:eastAsia="fr-FR"/>
              </w:rPr>
              <w:t xml:space="preserve"> - </w:t>
            </w:r>
            <w:proofErr w:type="spellStart"/>
            <w:r w:rsidRPr="00507F0C">
              <w:rPr>
                <w:rFonts w:ascii="Cambria" w:hAnsi="Cambria" w:cs="Calibri"/>
                <w:color w:val="000000"/>
                <w:lang w:eastAsia="fr-FR"/>
              </w:rPr>
              <w:t>Nuku</w:t>
            </w:r>
            <w:proofErr w:type="spellEnd"/>
            <w:r w:rsidRPr="00507F0C">
              <w:rPr>
                <w:rFonts w:ascii="Cambria" w:hAnsi="Cambria" w:cs="Calibri"/>
                <w:color w:val="000000"/>
                <w:lang w:eastAsia="fr-FR"/>
              </w:rPr>
              <w:t xml:space="preserve"> </w:t>
            </w:r>
            <w:proofErr w:type="spellStart"/>
            <w:r w:rsidRPr="00507F0C">
              <w:rPr>
                <w:rFonts w:ascii="Cambria" w:hAnsi="Cambria" w:cs="Calibri"/>
                <w:color w:val="000000"/>
                <w:lang w:eastAsia="fr-FR"/>
              </w:rPr>
              <w:t>Hiva</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4908519C"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1 388 000</w:t>
            </w:r>
          </w:p>
        </w:tc>
      </w:tr>
      <w:tr w:rsidR="00941768" w:rsidRPr="00507F0C" w14:paraId="5EBC2549"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1206AF0"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w:t>
            </w:r>
            <w:proofErr w:type="spellStart"/>
            <w:r w:rsidRPr="00507F0C">
              <w:rPr>
                <w:rFonts w:ascii="Cambria" w:hAnsi="Cambria" w:cs="Calibri"/>
                <w:color w:val="000000"/>
                <w:lang w:eastAsia="fr-FR"/>
              </w:rPr>
              <w:t>Teriitua</w:t>
            </w:r>
            <w:proofErr w:type="spellEnd"/>
            <w:r w:rsidRPr="00507F0C">
              <w:rPr>
                <w:rFonts w:ascii="Cambria" w:hAnsi="Cambria" w:cs="Calibri"/>
                <w:color w:val="000000"/>
                <w:lang w:eastAsia="fr-FR"/>
              </w:rPr>
              <w:t xml:space="preserve"> A </w:t>
            </w:r>
            <w:proofErr w:type="spellStart"/>
            <w:r w:rsidRPr="00507F0C">
              <w:rPr>
                <w:rFonts w:ascii="Cambria" w:hAnsi="Cambria" w:cs="Calibri"/>
                <w:color w:val="000000"/>
                <w:lang w:eastAsia="fr-FR"/>
              </w:rPr>
              <w:t>Teriierooiterai</w:t>
            </w:r>
            <w:proofErr w:type="spellEnd"/>
            <w:r w:rsidRPr="00507F0C">
              <w:rPr>
                <w:rFonts w:ascii="Cambria" w:hAnsi="Cambria" w:cs="Calibri"/>
                <w:color w:val="000000"/>
                <w:lang w:eastAsia="fr-FR"/>
              </w:rPr>
              <w:t xml:space="preserve"> de Paea</w:t>
            </w:r>
          </w:p>
        </w:tc>
        <w:tc>
          <w:tcPr>
            <w:tcW w:w="2018" w:type="dxa"/>
            <w:tcBorders>
              <w:top w:val="nil"/>
              <w:left w:val="nil"/>
              <w:bottom w:val="single" w:sz="4" w:space="0" w:color="auto"/>
              <w:right w:val="single" w:sz="4" w:space="0" w:color="auto"/>
            </w:tcBorders>
            <w:shd w:val="clear" w:color="auto" w:fill="auto"/>
            <w:vAlign w:val="center"/>
            <w:hideMark/>
          </w:tcPr>
          <w:p w14:paraId="13B34073"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1 739 600</w:t>
            </w:r>
          </w:p>
        </w:tc>
      </w:tr>
      <w:tr w:rsidR="00941768" w:rsidRPr="00507F0C" w14:paraId="7CB244E6"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72EF537C"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Collège de </w:t>
            </w:r>
            <w:proofErr w:type="spellStart"/>
            <w:r w:rsidRPr="00507F0C">
              <w:rPr>
                <w:rFonts w:ascii="Cambria" w:hAnsi="Cambria" w:cs="Calibri"/>
                <w:color w:val="000000"/>
                <w:lang w:eastAsia="fr-FR"/>
              </w:rPr>
              <w:t>Tipaerui</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6262A073"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2 137 300</w:t>
            </w:r>
          </w:p>
        </w:tc>
      </w:tr>
      <w:tr w:rsidR="00941768" w:rsidRPr="00507F0C" w14:paraId="399B60CB"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5E0A25B0"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 xml:space="preserve">Lycée professionnel de </w:t>
            </w:r>
            <w:proofErr w:type="spellStart"/>
            <w:r w:rsidRPr="00507F0C">
              <w:rPr>
                <w:rFonts w:ascii="Cambria" w:hAnsi="Cambria" w:cs="Calibri"/>
                <w:color w:val="000000"/>
                <w:lang w:eastAsia="fr-FR"/>
              </w:rPr>
              <w:t>Mahina</w:t>
            </w:r>
            <w:proofErr w:type="spellEnd"/>
          </w:p>
        </w:tc>
        <w:tc>
          <w:tcPr>
            <w:tcW w:w="2018" w:type="dxa"/>
            <w:tcBorders>
              <w:top w:val="nil"/>
              <w:left w:val="nil"/>
              <w:bottom w:val="single" w:sz="4" w:space="0" w:color="auto"/>
              <w:right w:val="single" w:sz="4" w:space="0" w:color="auto"/>
            </w:tcBorders>
            <w:shd w:val="clear" w:color="auto" w:fill="auto"/>
            <w:vAlign w:val="center"/>
            <w:hideMark/>
          </w:tcPr>
          <w:p w14:paraId="4654ADC6"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2 945 700</w:t>
            </w:r>
          </w:p>
        </w:tc>
      </w:tr>
      <w:tr w:rsidR="00941768" w:rsidRPr="00507F0C" w14:paraId="09AB72ED" w14:textId="77777777" w:rsidTr="00296DDB">
        <w:trPr>
          <w:trHeight w:val="31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8DD19C0" w14:textId="77777777" w:rsidR="00941768" w:rsidRPr="00507F0C" w:rsidRDefault="00941768" w:rsidP="00F63FC8">
            <w:pPr>
              <w:rPr>
                <w:rFonts w:ascii="Cambria" w:hAnsi="Cambria" w:cs="Calibri"/>
                <w:color w:val="000000"/>
                <w:lang w:eastAsia="fr-FR"/>
              </w:rPr>
            </w:pPr>
            <w:r w:rsidRPr="00507F0C">
              <w:rPr>
                <w:rFonts w:ascii="Cambria" w:hAnsi="Cambria" w:cs="Calibri"/>
                <w:color w:val="000000"/>
                <w:lang w:eastAsia="fr-FR"/>
              </w:rPr>
              <w:t>Lycée professionnel d'</w:t>
            </w:r>
            <w:proofErr w:type="spellStart"/>
            <w:r w:rsidRPr="00507F0C">
              <w:rPr>
                <w:rFonts w:ascii="Cambria" w:hAnsi="Cambria" w:cs="Calibri"/>
                <w:color w:val="000000"/>
                <w:lang w:eastAsia="fr-FR"/>
              </w:rPr>
              <w:t>Uturoa</w:t>
            </w:r>
            <w:proofErr w:type="spellEnd"/>
            <w:r w:rsidRPr="00507F0C">
              <w:rPr>
                <w:rFonts w:ascii="Cambria" w:hAnsi="Cambria" w:cs="Calibri"/>
                <w:color w:val="000000"/>
                <w:lang w:eastAsia="fr-FR"/>
              </w:rPr>
              <w:t xml:space="preserve"> - Raiatea</w:t>
            </w:r>
          </w:p>
        </w:tc>
        <w:tc>
          <w:tcPr>
            <w:tcW w:w="2018" w:type="dxa"/>
            <w:tcBorders>
              <w:top w:val="nil"/>
              <w:left w:val="nil"/>
              <w:bottom w:val="single" w:sz="4" w:space="0" w:color="auto"/>
              <w:right w:val="single" w:sz="4" w:space="0" w:color="auto"/>
            </w:tcBorders>
            <w:shd w:val="clear" w:color="auto" w:fill="auto"/>
            <w:vAlign w:val="center"/>
            <w:hideMark/>
          </w:tcPr>
          <w:p w14:paraId="75319198" w14:textId="77777777" w:rsidR="00941768" w:rsidRPr="00507F0C" w:rsidRDefault="00941768" w:rsidP="00F63FC8">
            <w:pPr>
              <w:jc w:val="right"/>
              <w:rPr>
                <w:rFonts w:ascii="Cambria" w:hAnsi="Cambria" w:cs="Calibri"/>
                <w:color w:val="000000"/>
                <w:lang w:eastAsia="fr-FR"/>
              </w:rPr>
            </w:pPr>
            <w:r w:rsidRPr="00507F0C">
              <w:rPr>
                <w:rFonts w:ascii="Cambria" w:hAnsi="Cambria" w:cs="Calibri"/>
                <w:color w:val="000000"/>
                <w:lang w:eastAsia="fr-FR"/>
              </w:rPr>
              <w:t>2 989 800</w:t>
            </w:r>
          </w:p>
        </w:tc>
      </w:tr>
    </w:tbl>
    <w:p w14:paraId="1164A792" w14:textId="77777777" w:rsidR="00941768" w:rsidRPr="00B63E68" w:rsidRDefault="00941768" w:rsidP="00941768">
      <w:pPr>
        <w:rPr>
          <w:rFonts w:ascii="Cambria" w:hAnsi="Cambria"/>
        </w:rPr>
      </w:pPr>
    </w:p>
    <w:p w14:paraId="51E5851A" w14:textId="77777777" w:rsidR="00941768" w:rsidRDefault="00941768" w:rsidP="0073664B">
      <w:pPr>
        <w:rPr>
          <w:rFonts w:ascii="Cambria" w:hAnsi="Cambria"/>
          <w:b/>
          <w:bCs/>
          <w:lang w:eastAsia="fr-FR"/>
        </w:rPr>
      </w:pPr>
    </w:p>
    <w:p w14:paraId="48D64DD1" w14:textId="056FFC4E"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b/>
          <w:bCs/>
          <w:lang w:eastAsia="fr-FR"/>
        </w:rPr>
        <w:t>Subvention de fonctionnement en faveur de l’Union sportive de l’enseignement du premier degré (USEP)</w:t>
      </w:r>
    </w:p>
    <w:p w14:paraId="607422F7" w14:textId="342EF309"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lastRenderedPageBreak/>
        <w:t xml:space="preserve">Le Conseil des ministres a attribué une subvention de 18 millions </w:t>
      </w:r>
      <w:proofErr w:type="spellStart"/>
      <w:r w:rsidRPr="003E50B5">
        <w:rPr>
          <w:rFonts w:ascii="Cambria" w:hAnsi="Cambria"/>
          <w:lang w:eastAsia="fr-FR"/>
        </w:rPr>
        <w:t>Fcfp</w:t>
      </w:r>
      <w:proofErr w:type="spellEnd"/>
      <w:r w:rsidRPr="003E50B5">
        <w:rPr>
          <w:rFonts w:ascii="Cambria" w:hAnsi="Cambria"/>
          <w:lang w:eastAsia="fr-FR"/>
        </w:rPr>
        <w:t xml:space="preserve"> à l’USEP (Union sportive de l’enseignement du premier degré) pour le financement de son activité générale pendant l’année 2021.</w:t>
      </w:r>
    </w:p>
    <w:p w14:paraId="626E47FA" w14:textId="77777777" w:rsidR="003E50B5" w:rsidRP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La section polynésienne de l’USEP a été fondée le 13 janvier 1962 pour favoriser et règlementer la pratique de l’éducation physique et sportive dans les établissements publics de l’enseignement primaire. Elle a notamment pour mission de promouvoir, organiser et contrôler toute activité physique et sportive comme moyen d'éducation et de culture, d'intégration et de participation à la vie sociale, dans le but de préparer les enfants à devenir des adultes sportifs et des citoyens, de donner à chacun sans discrimination aucune, la possibilité de pratiquer des activités physiques, sportives et de pleine nature, et de faciliter le fonctionnement de toutes les associations affiliées.</w:t>
      </w:r>
    </w:p>
    <w:p w14:paraId="3BCC3164" w14:textId="082E6AAD" w:rsidR="003E50B5" w:rsidRDefault="003E50B5" w:rsidP="003E50B5">
      <w:pPr>
        <w:spacing w:before="100" w:beforeAutospacing="1" w:after="100" w:afterAutospacing="1"/>
        <w:jc w:val="both"/>
        <w:rPr>
          <w:rFonts w:ascii="Cambria" w:hAnsi="Cambria"/>
          <w:lang w:eastAsia="fr-FR"/>
        </w:rPr>
      </w:pPr>
      <w:r w:rsidRPr="003E50B5">
        <w:rPr>
          <w:rFonts w:ascii="Cambria" w:hAnsi="Cambria"/>
          <w:lang w:eastAsia="fr-FR"/>
        </w:rPr>
        <w:t>Le rapport de performance 2019-2020 renseigné par ses indicateurs, témoigne de l’investissement du ministère de l’Education dans la poursuite du développement du système d’information de l’éducation en Polynésie française. Il a été soumis à l’avis du Haut comité de l’éducation en sa séance le 17 mai dernier et a été approuvé à l’unanimité.</w:t>
      </w:r>
    </w:p>
    <w:p w14:paraId="77BF307B" w14:textId="77777777" w:rsidR="00875EF2" w:rsidRPr="003E50B5" w:rsidRDefault="00875EF2" w:rsidP="003E50B5">
      <w:pPr>
        <w:spacing w:before="100" w:beforeAutospacing="1" w:after="100" w:afterAutospacing="1"/>
        <w:jc w:val="both"/>
        <w:rPr>
          <w:rFonts w:ascii="Cambria" w:hAnsi="Cambria"/>
          <w:lang w:eastAsia="fr-FR"/>
        </w:rPr>
      </w:pPr>
    </w:p>
    <w:p w14:paraId="78E0A985" w14:textId="54573C1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5DAC"/>
    <w:multiLevelType w:val="multilevel"/>
    <w:tmpl w:val="C6C4FA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A43405"/>
    <w:multiLevelType w:val="multilevel"/>
    <w:tmpl w:val="B25AAC06"/>
    <w:lvl w:ilvl="0">
      <w:start w:val="3"/>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C92395"/>
    <w:multiLevelType w:val="hybridMultilevel"/>
    <w:tmpl w:val="93BE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90E43"/>
    <w:multiLevelType w:val="hybridMultilevel"/>
    <w:tmpl w:val="7FFC6C32"/>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527BCE"/>
    <w:multiLevelType w:val="multilevel"/>
    <w:tmpl w:val="C9E6F4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8D5CA8"/>
    <w:multiLevelType w:val="multilevel"/>
    <w:tmpl w:val="DF9E5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5420957"/>
    <w:multiLevelType w:val="multilevel"/>
    <w:tmpl w:val="11A8CA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69F5F92"/>
    <w:multiLevelType w:val="multilevel"/>
    <w:tmpl w:val="35F2041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15:restartNumberingAfterBreak="0">
    <w:nsid w:val="37057DDC"/>
    <w:multiLevelType w:val="hybridMultilevel"/>
    <w:tmpl w:val="6E3204B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DC7CAE"/>
    <w:multiLevelType w:val="multilevel"/>
    <w:tmpl w:val="F184D3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1577499"/>
    <w:multiLevelType w:val="multilevel"/>
    <w:tmpl w:val="D9FE7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53E27E6"/>
    <w:multiLevelType w:val="multilevel"/>
    <w:tmpl w:val="940A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F1EFF"/>
    <w:multiLevelType w:val="hybridMultilevel"/>
    <w:tmpl w:val="9BBC08B6"/>
    <w:lvl w:ilvl="0" w:tplc="510C8CF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9185398"/>
    <w:multiLevelType w:val="multilevel"/>
    <w:tmpl w:val="4CCA48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93B1198"/>
    <w:multiLevelType w:val="multilevel"/>
    <w:tmpl w:val="58564BA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D7F49CB"/>
    <w:multiLevelType w:val="multilevel"/>
    <w:tmpl w:val="7C2AC5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19D3106"/>
    <w:multiLevelType w:val="multilevel"/>
    <w:tmpl w:val="EDE62C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885C30"/>
    <w:multiLevelType w:val="multilevel"/>
    <w:tmpl w:val="C6205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4" w15:restartNumberingAfterBreak="0">
    <w:nsid w:val="6BBD0F40"/>
    <w:multiLevelType w:val="multilevel"/>
    <w:tmpl w:val="55749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194A57"/>
    <w:multiLevelType w:val="multilevel"/>
    <w:tmpl w:val="5462A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E4939B5"/>
    <w:multiLevelType w:val="multilevel"/>
    <w:tmpl w:val="335E25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FF7289E"/>
    <w:multiLevelType w:val="hybridMultilevel"/>
    <w:tmpl w:val="9BCECBCE"/>
    <w:lvl w:ilvl="0" w:tplc="54B407E8">
      <w:start w:val="1"/>
      <w:numFmt w:val="bullet"/>
      <w:lvlText w:val="-"/>
      <w:lvlJc w:val="left"/>
      <w:pPr>
        <w:ind w:left="765" w:hanging="360"/>
      </w:pPr>
      <w:rPr>
        <w:rFonts w:ascii="Times New Roman" w:eastAsia="Times New Roman" w:hAnsi="Times New Roman" w:cs="Times New Roman"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28" w15:restartNumberingAfterBreak="0">
    <w:nsid w:val="72366508"/>
    <w:multiLevelType w:val="multilevel"/>
    <w:tmpl w:val="46DA9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3EA284B"/>
    <w:multiLevelType w:val="multilevel"/>
    <w:tmpl w:val="01CEB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463592A"/>
    <w:multiLevelType w:val="multilevel"/>
    <w:tmpl w:val="B0F400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6B71746"/>
    <w:multiLevelType w:val="multilevel"/>
    <w:tmpl w:val="30688DC6"/>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D0F7026"/>
    <w:multiLevelType w:val="multilevel"/>
    <w:tmpl w:val="66424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05690"/>
    <w:multiLevelType w:val="multilevel"/>
    <w:tmpl w:val="5154803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lvlOverride w:ilvl="0">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21"/>
  </w:num>
  <w:num w:numId="6">
    <w:abstractNumId w:val="22"/>
  </w:num>
  <w:num w:numId="7">
    <w:abstractNumId w:val="14"/>
  </w:num>
  <w:num w:numId="8">
    <w:abstractNumId w:val="19"/>
  </w:num>
  <w:num w:numId="9">
    <w:abstractNumId w:val="32"/>
  </w:num>
  <w:num w:numId="10">
    <w:abstractNumId w:val="20"/>
  </w:num>
  <w:num w:numId="11">
    <w:abstractNumId w:val="29"/>
  </w:num>
  <w:num w:numId="12">
    <w:abstractNumId w:val="16"/>
  </w:num>
  <w:num w:numId="13">
    <w:abstractNumId w:val="11"/>
  </w:num>
  <w:num w:numId="14">
    <w:abstractNumId w:val="26"/>
  </w:num>
  <w:num w:numId="15">
    <w:abstractNumId w:val="33"/>
  </w:num>
  <w:num w:numId="16">
    <w:abstractNumId w:val="30"/>
  </w:num>
  <w:num w:numId="17">
    <w:abstractNumId w:val="31"/>
  </w:num>
  <w:num w:numId="18">
    <w:abstractNumId w:val="1"/>
  </w:num>
  <w:num w:numId="19">
    <w:abstractNumId w:val="17"/>
  </w:num>
  <w:num w:numId="20">
    <w:abstractNumId w:val="7"/>
    <w:lvlOverride w:ilvl="0"/>
    <w:lvlOverride w:ilvl="1">
      <w:startOverride w:val="1"/>
    </w:lvlOverride>
    <w:lvlOverride w:ilvl="2"/>
    <w:lvlOverride w:ilvl="3"/>
    <w:lvlOverride w:ilvl="4"/>
    <w:lvlOverride w:ilvl="5"/>
    <w:lvlOverride w:ilvl="6"/>
    <w:lvlOverride w:ilvl="7"/>
    <w:lvlOverride w:ilvl="8"/>
  </w:num>
  <w:num w:numId="21">
    <w:abstractNumId w:val="18"/>
  </w:num>
  <w:num w:numId="22">
    <w:abstractNumId w:val="2"/>
  </w:num>
  <w:num w:numId="23">
    <w:abstractNumId w:val="24"/>
  </w:num>
  <w:num w:numId="24">
    <w:abstractNumId w:val="3"/>
  </w:num>
  <w:num w:numId="25">
    <w:abstractNumId w:val="12"/>
  </w:num>
  <w:num w:numId="26">
    <w:abstractNumId w:val="28"/>
  </w:num>
  <w:num w:numId="27">
    <w:abstractNumId w:val="4"/>
  </w:num>
  <w:num w:numId="28">
    <w:abstractNumId w:val="5"/>
  </w:num>
  <w:num w:numId="29">
    <w:abstractNumId w:val="6"/>
  </w:num>
  <w:num w:numId="30">
    <w:abstractNumId w:val="0"/>
  </w:num>
  <w:num w:numId="31">
    <w:abstractNumId w:val="13"/>
  </w:num>
  <w:num w:numId="32">
    <w:abstractNumId w:val="10"/>
  </w:num>
  <w:num w:numId="33">
    <w:abstractNumId w:val="27"/>
  </w:num>
  <w:num w:numId="3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1790"/>
    <w:rsid w:val="00062C36"/>
    <w:rsid w:val="00067B39"/>
    <w:rsid w:val="000844CF"/>
    <w:rsid w:val="000A19DF"/>
    <w:rsid w:val="000A7051"/>
    <w:rsid w:val="000B3D14"/>
    <w:rsid w:val="000C153E"/>
    <w:rsid w:val="000E490F"/>
    <w:rsid w:val="000F4C48"/>
    <w:rsid w:val="001019EF"/>
    <w:rsid w:val="001025C8"/>
    <w:rsid w:val="0010365C"/>
    <w:rsid w:val="0011437E"/>
    <w:rsid w:val="00150042"/>
    <w:rsid w:val="001657A7"/>
    <w:rsid w:val="00191D50"/>
    <w:rsid w:val="00197F24"/>
    <w:rsid w:val="001A441F"/>
    <w:rsid w:val="001A6384"/>
    <w:rsid w:val="001B3EB1"/>
    <w:rsid w:val="001B5671"/>
    <w:rsid w:val="001B6B39"/>
    <w:rsid w:val="00203E06"/>
    <w:rsid w:val="002073E8"/>
    <w:rsid w:val="002074C4"/>
    <w:rsid w:val="002234A0"/>
    <w:rsid w:val="00261798"/>
    <w:rsid w:val="00263FAF"/>
    <w:rsid w:val="002659FD"/>
    <w:rsid w:val="00296DDB"/>
    <w:rsid w:val="002B17AA"/>
    <w:rsid w:val="002D2F1A"/>
    <w:rsid w:val="00303F47"/>
    <w:rsid w:val="00315CE8"/>
    <w:rsid w:val="00324C73"/>
    <w:rsid w:val="00336845"/>
    <w:rsid w:val="00341FC0"/>
    <w:rsid w:val="00366C08"/>
    <w:rsid w:val="00373A04"/>
    <w:rsid w:val="0038799A"/>
    <w:rsid w:val="003A785E"/>
    <w:rsid w:val="003E32DC"/>
    <w:rsid w:val="003E50B5"/>
    <w:rsid w:val="003E7569"/>
    <w:rsid w:val="003F24CA"/>
    <w:rsid w:val="00406FF4"/>
    <w:rsid w:val="00410ECC"/>
    <w:rsid w:val="004128F4"/>
    <w:rsid w:val="004178CE"/>
    <w:rsid w:val="004268C8"/>
    <w:rsid w:val="00436FB8"/>
    <w:rsid w:val="00453068"/>
    <w:rsid w:val="00464602"/>
    <w:rsid w:val="0047255C"/>
    <w:rsid w:val="0048276D"/>
    <w:rsid w:val="004830A7"/>
    <w:rsid w:val="004849BA"/>
    <w:rsid w:val="004A0B38"/>
    <w:rsid w:val="004A28D6"/>
    <w:rsid w:val="004A2D7B"/>
    <w:rsid w:val="004B00A1"/>
    <w:rsid w:val="004B588D"/>
    <w:rsid w:val="004C71F3"/>
    <w:rsid w:val="004F1350"/>
    <w:rsid w:val="004F4E5C"/>
    <w:rsid w:val="00522EA0"/>
    <w:rsid w:val="00524E73"/>
    <w:rsid w:val="005314A8"/>
    <w:rsid w:val="00570711"/>
    <w:rsid w:val="00590A68"/>
    <w:rsid w:val="0059364C"/>
    <w:rsid w:val="005A5AAB"/>
    <w:rsid w:val="005A68BB"/>
    <w:rsid w:val="005E3718"/>
    <w:rsid w:val="005F3BE8"/>
    <w:rsid w:val="005F535E"/>
    <w:rsid w:val="0060389A"/>
    <w:rsid w:val="00617820"/>
    <w:rsid w:val="00625270"/>
    <w:rsid w:val="006455AD"/>
    <w:rsid w:val="00661801"/>
    <w:rsid w:val="006676A1"/>
    <w:rsid w:val="00675EF8"/>
    <w:rsid w:val="0068337E"/>
    <w:rsid w:val="0068570C"/>
    <w:rsid w:val="00685D29"/>
    <w:rsid w:val="0068678A"/>
    <w:rsid w:val="00690ED4"/>
    <w:rsid w:val="00696538"/>
    <w:rsid w:val="006C3C9F"/>
    <w:rsid w:val="006C3CC1"/>
    <w:rsid w:val="006E6DA1"/>
    <w:rsid w:val="006F7FD4"/>
    <w:rsid w:val="00720225"/>
    <w:rsid w:val="00731EBA"/>
    <w:rsid w:val="0073664B"/>
    <w:rsid w:val="00744496"/>
    <w:rsid w:val="00750891"/>
    <w:rsid w:val="00754E86"/>
    <w:rsid w:val="007A5E09"/>
    <w:rsid w:val="007A6A5E"/>
    <w:rsid w:val="007E133D"/>
    <w:rsid w:val="007E1C32"/>
    <w:rsid w:val="007E62B3"/>
    <w:rsid w:val="008056CD"/>
    <w:rsid w:val="00807CE3"/>
    <w:rsid w:val="00814C48"/>
    <w:rsid w:val="00820BBC"/>
    <w:rsid w:val="00822589"/>
    <w:rsid w:val="00875EF2"/>
    <w:rsid w:val="008809BE"/>
    <w:rsid w:val="008823C5"/>
    <w:rsid w:val="00887E90"/>
    <w:rsid w:val="008900C4"/>
    <w:rsid w:val="00890177"/>
    <w:rsid w:val="008946C5"/>
    <w:rsid w:val="008C03E9"/>
    <w:rsid w:val="008D4C19"/>
    <w:rsid w:val="008E0300"/>
    <w:rsid w:val="008E2E81"/>
    <w:rsid w:val="008F28CC"/>
    <w:rsid w:val="00902A51"/>
    <w:rsid w:val="00902AD0"/>
    <w:rsid w:val="009071E8"/>
    <w:rsid w:val="00916876"/>
    <w:rsid w:val="00920D6D"/>
    <w:rsid w:val="009263A2"/>
    <w:rsid w:val="00941768"/>
    <w:rsid w:val="0094375D"/>
    <w:rsid w:val="00964474"/>
    <w:rsid w:val="009646E6"/>
    <w:rsid w:val="00966231"/>
    <w:rsid w:val="009744ED"/>
    <w:rsid w:val="00986E2E"/>
    <w:rsid w:val="009A0D8B"/>
    <w:rsid w:val="009D7FF1"/>
    <w:rsid w:val="009E2B35"/>
    <w:rsid w:val="009E34ED"/>
    <w:rsid w:val="009E7DA0"/>
    <w:rsid w:val="00A00B63"/>
    <w:rsid w:val="00A12C80"/>
    <w:rsid w:val="00A1301D"/>
    <w:rsid w:val="00A534C1"/>
    <w:rsid w:val="00A66B6A"/>
    <w:rsid w:val="00A751A0"/>
    <w:rsid w:val="00A83348"/>
    <w:rsid w:val="00A90C15"/>
    <w:rsid w:val="00AA1585"/>
    <w:rsid w:val="00AA6AED"/>
    <w:rsid w:val="00AB5AD0"/>
    <w:rsid w:val="00AD364D"/>
    <w:rsid w:val="00AD4D7B"/>
    <w:rsid w:val="00AE0A7B"/>
    <w:rsid w:val="00B05F97"/>
    <w:rsid w:val="00B22E99"/>
    <w:rsid w:val="00B2325C"/>
    <w:rsid w:val="00B31D2D"/>
    <w:rsid w:val="00B33E76"/>
    <w:rsid w:val="00B34C72"/>
    <w:rsid w:val="00B35075"/>
    <w:rsid w:val="00B61FCE"/>
    <w:rsid w:val="00B7240B"/>
    <w:rsid w:val="00B81E7B"/>
    <w:rsid w:val="00B9245A"/>
    <w:rsid w:val="00B97C80"/>
    <w:rsid w:val="00BB77F0"/>
    <w:rsid w:val="00BD2018"/>
    <w:rsid w:val="00BE1F42"/>
    <w:rsid w:val="00BF6854"/>
    <w:rsid w:val="00C069A5"/>
    <w:rsid w:val="00C126C0"/>
    <w:rsid w:val="00C257B4"/>
    <w:rsid w:val="00C2611A"/>
    <w:rsid w:val="00C417AA"/>
    <w:rsid w:val="00C41BF8"/>
    <w:rsid w:val="00C6114E"/>
    <w:rsid w:val="00C76AD5"/>
    <w:rsid w:val="00C80BBF"/>
    <w:rsid w:val="00C945C0"/>
    <w:rsid w:val="00CB73CF"/>
    <w:rsid w:val="00CC01A4"/>
    <w:rsid w:val="00CD3117"/>
    <w:rsid w:val="00CE7851"/>
    <w:rsid w:val="00D13D49"/>
    <w:rsid w:val="00D1539E"/>
    <w:rsid w:val="00D22A2D"/>
    <w:rsid w:val="00D410EC"/>
    <w:rsid w:val="00D5697C"/>
    <w:rsid w:val="00D61290"/>
    <w:rsid w:val="00D64937"/>
    <w:rsid w:val="00D91BC5"/>
    <w:rsid w:val="00D92064"/>
    <w:rsid w:val="00DA7916"/>
    <w:rsid w:val="00DC0835"/>
    <w:rsid w:val="00E03ED5"/>
    <w:rsid w:val="00E226B8"/>
    <w:rsid w:val="00E40188"/>
    <w:rsid w:val="00E42C99"/>
    <w:rsid w:val="00E51A6D"/>
    <w:rsid w:val="00E543F7"/>
    <w:rsid w:val="00EB6346"/>
    <w:rsid w:val="00EF1DB1"/>
    <w:rsid w:val="00F07947"/>
    <w:rsid w:val="00F14D09"/>
    <w:rsid w:val="00F30305"/>
    <w:rsid w:val="00F35395"/>
    <w:rsid w:val="00F37AE6"/>
    <w:rsid w:val="00F44A8A"/>
    <w:rsid w:val="00F530C1"/>
    <w:rsid w:val="00F767F2"/>
    <w:rsid w:val="00F81704"/>
    <w:rsid w:val="00F84689"/>
    <w:rsid w:val="00F90A62"/>
    <w:rsid w:val="00FB3F7A"/>
    <w:rsid w:val="00FC0BA3"/>
    <w:rsid w:val="00FD7003"/>
    <w:rsid w:val="00FE4687"/>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character" w:customStyle="1" w:styleId="Corpsdutexte2">
    <w:name w:val="Corps du texte (2)"/>
    <w:basedOn w:val="Policepardfaut"/>
    <w:rsid w:val="00E42C99"/>
    <w:rPr>
      <w:rFonts w:ascii="Times New Roman" w:eastAsia="Times New Roman" w:hAnsi="Times New Roman" w:cs="Times New Roman"/>
      <w:b w:val="0"/>
      <w:bCs w:val="0"/>
      <w:i w:val="0"/>
      <w:iCs w:val="0"/>
      <w:smallCaps w:val="0"/>
      <w:strike w:val="0"/>
      <w:color w:val="161A71"/>
      <w:spacing w:val="0"/>
      <w:w w:val="100"/>
      <w:position w:val="0"/>
      <w:sz w:val="24"/>
      <w:szCs w:val="24"/>
      <w:u w:val="none"/>
      <w:lang w:val="fr-FR" w:eastAsia="fr-FR" w:bidi="fr-FR"/>
    </w:rPr>
  </w:style>
  <w:style w:type="paragraph" w:customStyle="1" w:styleId="-ConventionPrambuleGEDA">
    <w:name w:val="- Convention:Préambule           GEDA"/>
    <w:rsid w:val="00373A04"/>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Corpsdutexte20">
    <w:name w:val="Corps du texte (2)_"/>
    <w:rsid w:val="002B17AA"/>
    <w:rPr>
      <w:rFonts w:ascii="Sylfaen" w:eastAsia="Sylfaen" w:hAnsi="Sylfaen" w:cs="Sylfaen"/>
      <w:b w:val="0"/>
      <w:bCs w:val="0"/>
      <w:i w:val="0"/>
      <w:iCs w:val="0"/>
      <w:smallCaps w:val="0"/>
      <w:strike w:val="0"/>
      <w:sz w:val="21"/>
      <w:szCs w:val="21"/>
      <w:u w:val="none"/>
    </w:rPr>
  </w:style>
  <w:style w:type="paragraph" w:customStyle="1" w:styleId="-lettretextegeda0">
    <w:name w:val="-lettretextegeda"/>
    <w:basedOn w:val="Normal"/>
    <w:rsid w:val="00341FC0"/>
    <w:pPr>
      <w:spacing w:before="100" w:beforeAutospacing="1" w:after="100" w:afterAutospacing="1"/>
    </w:pPr>
    <w:rPr>
      <w:lang w:eastAsia="fr-FR"/>
    </w:rPr>
  </w:style>
  <w:style w:type="character" w:styleId="Mentionnonrsolue">
    <w:name w:val="Unresolved Mention"/>
    <w:basedOn w:val="Policepardfaut"/>
    <w:uiPriority w:val="99"/>
    <w:semiHidden/>
    <w:unhideWhenUsed/>
    <w:rsid w:val="00C4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36421910">
      <w:bodyDiv w:val="1"/>
      <w:marLeft w:val="0"/>
      <w:marRight w:val="0"/>
      <w:marTop w:val="0"/>
      <w:marBottom w:val="0"/>
      <w:divBdr>
        <w:top w:val="none" w:sz="0" w:space="0" w:color="auto"/>
        <w:left w:val="none" w:sz="0" w:space="0" w:color="auto"/>
        <w:bottom w:val="none" w:sz="0" w:space="0" w:color="auto"/>
        <w:right w:val="none" w:sz="0" w:space="0" w:color="auto"/>
      </w:divBdr>
    </w:div>
    <w:div w:id="36248417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33290318">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56224327">
      <w:bodyDiv w:val="1"/>
      <w:marLeft w:val="0"/>
      <w:marRight w:val="0"/>
      <w:marTop w:val="0"/>
      <w:marBottom w:val="0"/>
      <w:divBdr>
        <w:top w:val="none" w:sz="0" w:space="0" w:color="auto"/>
        <w:left w:val="none" w:sz="0" w:space="0" w:color="auto"/>
        <w:bottom w:val="none" w:sz="0" w:space="0" w:color="auto"/>
        <w:right w:val="none" w:sz="0" w:space="0" w:color="auto"/>
      </w:divBdr>
    </w:div>
    <w:div w:id="54494795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596912659">
      <w:bodyDiv w:val="1"/>
      <w:marLeft w:val="0"/>
      <w:marRight w:val="0"/>
      <w:marTop w:val="0"/>
      <w:marBottom w:val="0"/>
      <w:divBdr>
        <w:top w:val="none" w:sz="0" w:space="0" w:color="auto"/>
        <w:left w:val="none" w:sz="0" w:space="0" w:color="auto"/>
        <w:bottom w:val="none" w:sz="0" w:space="0" w:color="auto"/>
        <w:right w:val="none" w:sz="0" w:space="0" w:color="auto"/>
      </w:divBdr>
    </w:div>
    <w:div w:id="6699164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38946887">
      <w:bodyDiv w:val="1"/>
      <w:marLeft w:val="0"/>
      <w:marRight w:val="0"/>
      <w:marTop w:val="0"/>
      <w:marBottom w:val="0"/>
      <w:divBdr>
        <w:top w:val="none" w:sz="0" w:space="0" w:color="auto"/>
        <w:left w:val="none" w:sz="0" w:space="0" w:color="auto"/>
        <w:bottom w:val="none" w:sz="0" w:space="0" w:color="auto"/>
        <w:right w:val="none" w:sz="0" w:space="0" w:color="auto"/>
      </w:divBdr>
    </w:div>
    <w:div w:id="100435917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27842573">
      <w:bodyDiv w:val="1"/>
      <w:marLeft w:val="0"/>
      <w:marRight w:val="0"/>
      <w:marTop w:val="0"/>
      <w:marBottom w:val="0"/>
      <w:divBdr>
        <w:top w:val="none" w:sz="0" w:space="0" w:color="auto"/>
        <w:left w:val="none" w:sz="0" w:space="0" w:color="auto"/>
        <w:bottom w:val="none" w:sz="0" w:space="0" w:color="auto"/>
        <w:right w:val="none" w:sz="0" w:space="0" w:color="auto"/>
      </w:divBdr>
    </w:div>
    <w:div w:id="1233128035">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79793230">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0026214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38988061">
      <w:bodyDiv w:val="1"/>
      <w:marLeft w:val="0"/>
      <w:marRight w:val="0"/>
      <w:marTop w:val="0"/>
      <w:marBottom w:val="0"/>
      <w:divBdr>
        <w:top w:val="none" w:sz="0" w:space="0" w:color="auto"/>
        <w:left w:val="none" w:sz="0" w:space="0" w:color="auto"/>
        <w:bottom w:val="none" w:sz="0" w:space="0" w:color="auto"/>
        <w:right w:val="none" w:sz="0" w:space="0" w:color="auto"/>
      </w:divBdr>
    </w:div>
    <w:div w:id="1468819740">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26485447">
      <w:bodyDiv w:val="1"/>
      <w:marLeft w:val="0"/>
      <w:marRight w:val="0"/>
      <w:marTop w:val="0"/>
      <w:marBottom w:val="0"/>
      <w:divBdr>
        <w:top w:val="none" w:sz="0" w:space="0" w:color="auto"/>
        <w:left w:val="none" w:sz="0" w:space="0" w:color="auto"/>
        <w:bottom w:val="none" w:sz="0" w:space="0" w:color="auto"/>
        <w:right w:val="none" w:sz="0" w:space="0" w:color="auto"/>
      </w:divBdr>
    </w:div>
    <w:div w:id="1576624071">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39917176">
      <w:bodyDiv w:val="1"/>
      <w:marLeft w:val="0"/>
      <w:marRight w:val="0"/>
      <w:marTop w:val="0"/>
      <w:marBottom w:val="0"/>
      <w:divBdr>
        <w:top w:val="none" w:sz="0" w:space="0" w:color="auto"/>
        <w:left w:val="none" w:sz="0" w:space="0" w:color="auto"/>
        <w:bottom w:val="none" w:sz="0" w:space="0" w:color="auto"/>
        <w:right w:val="none" w:sz="0" w:space="0" w:color="auto"/>
      </w:divBdr>
    </w:div>
    <w:div w:id="1645550457">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57746971">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20878969">
      <w:bodyDiv w:val="1"/>
      <w:marLeft w:val="0"/>
      <w:marRight w:val="0"/>
      <w:marTop w:val="0"/>
      <w:marBottom w:val="0"/>
      <w:divBdr>
        <w:top w:val="none" w:sz="0" w:space="0" w:color="auto"/>
        <w:left w:val="none" w:sz="0" w:space="0" w:color="auto"/>
        <w:bottom w:val="none" w:sz="0" w:space="0" w:color="auto"/>
        <w:right w:val="none" w:sz="0" w:space="0" w:color="auto"/>
      </w:divBdr>
    </w:div>
    <w:div w:id="1832021345">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39484907">
      <w:bodyDiv w:val="1"/>
      <w:marLeft w:val="0"/>
      <w:marRight w:val="0"/>
      <w:marTop w:val="0"/>
      <w:marBottom w:val="0"/>
      <w:divBdr>
        <w:top w:val="none" w:sz="0" w:space="0" w:color="auto"/>
        <w:left w:val="none" w:sz="0" w:space="0" w:color="auto"/>
        <w:bottom w:val="none" w:sz="0" w:space="0" w:color="auto"/>
        <w:right w:val="none" w:sz="0" w:space="0" w:color="auto"/>
      </w:divBdr>
    </w:div>
    <w:div w:id="1948850514">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isana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3621</Words>
  <Characters>19921</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4</cp:revision>
  <dcterms:created xsi:type="dcterms:W3CDTF">2021-06-14T22:38:00Z</dcterms:created>
  <dcterms:modified xsi:type="dcterms:W3CDTF">2021-06-14T22:42:00Z</dcterms:modified>
</cp:coreProperties>
</file>