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E894E" w14:textId="77777777" w:rsidR="00625270" w:rsidRPr="00964474" w:rsidRDefault="00625270" w:rsidP="00964474">
      <w:pPr>
        <w:jc w:val="both"/>
        <w:rPr>
          <w:rFonts w:ascii="Cambria" w:hAnsi="Cambria"/>
          <w:lang w:eastAsia="fr-FR"/>
        </w:rPr>
      </w:pPr>
      <w:r w:rsidRPr="00964474">
        <w:rPr>
          <w:rFonts w:ascii="Cambria" w:hAnsi="Cambria"/>
          <w:noProof/>
          <w:lang w:eastAsia="fr-FR"/>
        </w:rPr>
        <w:drawing>
          <wp:anchor distT="0" distB="0" distL="114300" distR="114300" simplePos="0" relativeHeight="251659264" behindDoc="1" locked="0" layoutInCell="1" allowOverlap="1" wp14:anchorId="71A86BBE" wp14:editId="653A5DFE">
            <wp:simplePos x="0" y="0"/>
            <wp:positionH relativeFrom="column">
              <wp:posOffset>-896620</wp:posOffset>
            </wp:positionH>
            <wp:positionV relativeFrom="paragraph">
              <wp:posOffset>-931545</wp:posOffset>
            </wp:positionV>
            <wp:extent cx="7548880" cy="2686050"/>
            <wp:effectExtent l="0" t="0" r="0" b="0"/>
            <wp:wrapNone/>
            <wp:docPr id="10"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48880" cy="2686050"/>
                    </a:xfrm>
                    <a:prstGeom prst="rect">
                      <a:avLst/>
                    </a:prstGeom>
                    <a:noFill/>
                  </pic:spPr>
                </pic:pic>
              </a:graphicData>
            </a:graphic>
            <wp14:sizeRelH relativeFrom="page">
              <wp14:pctWidth>0</wp14:pctWidth>
            </wp14:sizeRelH>
            <wp14:sizeRelV relativeFrom="page">
              <wp14:pctHeight>0</wp14:pctHeight>
            </wp14:sizeRelV>
          </wp:anchor>
        </w:drawing>
      </w:r>
      <w:r w:rsidRPr="00964474">
        <w:rPr>
          <w:rFonts w:ascii="Cambria" w:hAnsi="Cambria"/>
          <w:noProof/>
          <w:lang w:eastAsia="fr-FR"/>
        </w:rPr>
        <mc:AlternateContent>
          <mc:Choice Requires="wps">
            <w:drawing>
              <wp:anchor distT="45720" distB="45720" distL="114300" distR="114300" simplePos="0" relativeHeight="251660288" behindDoc="0" locked="0" layoutInCell="1" allowOverlap="1" wp14:anchorId="0B34D0CA" wp14:editId="043A7DFF">
                <wp:simplePos x="0" y="0"/>
                <wp:positionH relativeFrom="margin">
                  <wp:posOffset>2112645</wp:posOffset>
                </wp:positionH>
                <wp:positionV relativeFrom="paragraph">
                  <wp:posOffset>-633095</wp:posOffset>
                </wp:positionV>
                <wp:extent cx="3648075" cy="1104900"/>
                <wp:effectExtent l="0" t="0" r="0" b="0"/>
                <wp:wrapNone/>
                <wp:docPr id="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8075" cy="1104900"/>
                        </a:xfrm>
                        <a:prstGeom prst="rect">
                          <a:avLst/>
                        </a:prstGeom>
                        <a:noFill/>
                        <a:ln w="9525">
                          <a:noFill/>
                          <a:miter lim="800000"/>
                          <a:headEnd/>
                          <a:tailEnd/>
                        </a:ln>
                      </wps:spPr>
                      <wps:txbx>
                        <w:txbxContent>
                          <w:p w14:paraId="3227A910" w14:textId="77777777" w:rsidR="00625270" w:rsidRDefault="00625270" w:rsidP="00625270">
                            <w:pPr>
                              <w:rPr>
                                <w:rFonts w:ascii="Edwardian Script ITC" w:hAnsi="Edwardian Script ITC"/>
                                <w:sz w:val="64"/>
                                <w:szCs w:val="64"/>
                              </w:rPr>
                            </w:pPr>
                            <w:r>
                              <w:rPr>
                                <w:rFonts w:ascii="Edwardian Script ITC" w:hAnsi="Edwardian Script ITC"/>
                                <w:sz w:val="64"/>
                                <w:szCs w:val="64"/>
                              </w:rPr>
                              <w:t>La Présidence</w:t>
                            </w:r>
                          </w:p>
                          <w:p w14:paraId="368D93DE" w14:textId="77777777" w:rsidR="00625270" w:rsidRDefault="00625270" w:rsidP="00625270">
                            <w:pPr>
                              <w:rPr>
                                <w:rFonts w:ascii="Edwardian Script ITC" w:hAnsi="Edwardian Script ITC"/>
                                <w:sz w:val="64"/>
                                <w:szCs w:val="64"/>
                              </w:rPr>
                            </w:pPr>
                            <w:r>
                              <w:rPr>
                                <w:rFonts w:ascii="Edwardian Script ITC" w:hAnsi="Edwardian Script ITC"/>
                                <w:sz w:val="64"/>
                                <w:szCs w:val="64"/>
                              </w:rPr>
                              <w:t>De la Polynésie française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B34D0CA" id="_x0000_t202" coordsize="21600,21600" o:spt="202" path="m,l,21600r21600,l21600,xe">
                <v:stroke joinstyle="miter"/>
                <v:path gradientshapeok="t" o:connecttype="rect"/>
              </v:shapetype>
              <v:shape id="Zone de texte 2" o:spid="_x0000_s1026" type="#_x0000_t202" style="position:absolute;left:0;text-align:left;margin-left:166.35pt;margin-top:-49.85pt;width:287.25pt;height:87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" filled="f" stroked="f">
                <v:textbox>
                  <w:txbxContent>
                    <w:p w14:paraId="3227A910" w14:textId="77777777" w:rsidR="00625270" w:rsidRDefault="00625270" w:rsidP="00625270">
                      <w:pPr>
                        <w:rPr>
                          <w:rFonts w:ascii="Edwardian Script ITC" w:hAnsi="Edwardian Script ITC"/>
                          <w:sz w:val="64"/>
                          <w:szCs w:val="64"/>
                        </w:rPr>
                      </w:pPr>
                      <w:r>
                        <w:rPr>
                          <w:rFonts w:ascii="Edwardian Script ITC" w:hAnsi="Edwardian Script ITC"/>
                          <w:sz w:val="64"/>
                          <w:szCs w:val="64"/>
                        </w:rPr>
                        <w:t>La Présidence</w:t>
                      </w:r>
                    </w:p>
                    <w:p w14:paraId="368D93DE" w14:textId="77777777" w:rsidR="00625270" w:rsidRDefault="00625270" w:rsidP="00625270">
                      <w:pPr>
                        <w:rPr>
                          <w:rFonts w:ascii="Edwardian Script ITC" w:hAnsi="Edwardian Script ITC"/>
                          <w:sz w:val="64"/>
                          <w:szCs w:val="64"/>
                        </w:rPr>
                      </w:pPr>
                      <w:r>
                        <w:rPr>
                          <w:rFonts w:ascii="Edwardian Script ITC" w:hAnsi="Edwardian Script ITC"/>
                          <w:sz w:val="64"/>
                          <w:szCs w:val="64"/>
                        </w:rPr>
                        <w:t>De la Polynésie française</w:t>
                      </w:r>
                    </w:p>
                  </w:txbxContent>
                </v:textbox>
                <w10:wrap anchorx="margin"/>
              </v:shape>
            </w:pict>
          </mc:Fallback>
        </mc:AlternateContent>
      </w:r>
      <w:r w:rsidRPr="00964474">
        <w:rPr>
          <w:rFonts w:ascii="Cambria" w:hAnsi="Cambria"/>
          <w:lang w:eastAsia="fr-FR"/>
        </w:rPr>
        <w:t xml:space="preserve"> </w:t>
      </w:r>
    </w:p>
    <w:p w14:paraId="5B96777C" w14:textId="77777777" w:rsidR="00625270" w:rsidRPr="00964474" w:rsidRDefault="00625270" w:rsidP="00964474">
      <w:pPr>
        <w:jc w:val="both"/>
        <w:rPr>
          <w:rFonts w:ascii="Cambria" w:hAnsi="Cambria"/>
          <w:color w:val="993366"/>
        </w:rPr>
      </w:pPr>
    </w:p>
    <w:p w14:paraId="3672BD85" w14:textId="77777777" w:rsidR="00625270" w:rsidRPr="00964474" w:rsidRDefault="00625270" w:rsidP="00964474">
      <w:pPr>
        <w:jc w:val="both"/>
        <w:rPr>
          <w:rFonts w:ascii="Cambria" w:hAnsi="Cambria"/>
          <w:color w:val="993366"/>
        </w:rPr>
      </w:pPr>
    </w:p>
    <w:p w14:paraId="6ADD5940" w14:textId="77777777" w:rsidR="00625270" w:rsidRPr="00964474" w:rsidRDefault="00625270" w:rsidP="00964474">
      <w:pPr>
        <w:jc w:val="both"/>
        <w:rPr>
          <w:rFonts w:ascii="Cambria" w:hAnsi="Cambria"/>
          <w:color w:val="993366"/>
        </w:rPr>
      </w:pPr>
    </w:p>
    <w:p w14:paraId="48B5E675" w14:textId="77777777" w:rsidR="00625270" w:rsidRPr="00964474" w:rsidRDefault="00625270" w:rsidP="00964474">
      <w:pPr>
        <w:jc w:val="both"/>
        <w:rPr>
          <w:rFonts w:ascii="Cambria" w:hAnsi="Cambria"/>
          <w:color w:val="993366"/>
        </w:rPr>
      </w:pPr>
    </w:p>
    <w:p w14:paraId="0556FA3D" w14:textId="77777777" w:rsidR="00625270" w:rsidRPr="00964474" w:rsidRDefault="00625270" w:rsidP="00964474">
      <w:pPr>
        <w:tabs>
          <w:tab w:val="center" w:pos="4533"/>
          <w:tab w:val="left" w:pos="6544"/>
        </w:tabs>
        <w:jc w:val="both"/>
        <w:rPr>
          <w:rFonts w:ascii="Cambria" w:hAnsi="Cambria"/>
          <w:u w:val="single"/>
        </w:rPr>
      </w:pPr>
      <w:r w:rsidRPr="00964474">
        <w:rPr>
          <w:rFonts w:ascii="Cambria" w:hAnsi="Cambria"/>
          <w:noProof/>
          <w:lang w:eastAsia="fr-FR"/>
        </w:rPr>
        <mc:AlternateContent>
          <mc:Choice Requires="wps">
            <w:drawing>
              <wp:anchor distT="4294967294" distB="4294967294" distL="114300" distR="114300" simplePos="0" relativeHeight="251662336" behindDoc="0" locked="0" layoutInCell="1" allowOverlap="1" wp14:anchorId="53006458" wp14:editId="51167376">
                <wp:simplePos x="0" y="0"/>
                <wp:positionH relativeFrom="column">
                  <wp:posOffset>1943100</wp:posOffset>
                </wp:positionH>
                <wp:positionV relativeFrom="paragraph">
                  <wp:posOffset>57150</wp:posOffset>
                </wp:positionV>
                <wp:extent cx="1828800" cy="0"/>
                <wp:effectExtent l="38100" t="19050" r="76200" b="95250"/>
                <wp:wrapNone/>
                <wp:docPr id="4" name="Connecteur droit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28800" cy="0"/>
                        </a:xfrm>
                        <a:prstGeom prst="line">
                          <a:avLst/>
                        </a:prstGeom>
                        <a:noFill/>
                        <a:ln w="19050" cap="flat" cmpd="sng" algn="ctr">
                          <a:solidFill>
                            <a:sysClr val="windowText" lastClr="000000"/>
                          </a:solidFill>
                          <a:prstDash val="solid"/>
                        </a:ln>
                        <a:effectLst>
                          <a:outerShdw blurRad="40000" dist="23000" dir="5400000" rotWithShape="0">
                            <a:srgbClr val="000000">
                              <a:alpha val="35000"/>
                            </a:srgbClr>
                          </a:outerShdw>
                        </a:effectLst>
                      </wps:spPr>
                      <wps:bodyPr/>
                    </wps:wsp>
                  </a:graphicData>
                </a:graphic>
                <wp14:sizeRelH relativeFrom="page">
                  <wp14:pctWidth>0</wp14:pctWidth>
                </wp14:sizeRelH>
                <wp14:sizeRelV relativeFrom="page">
                  <wp14:pctHeight>0</wp14:pctHeight>
                </wp14:sizeRelV>
              </wp:anchor>
            </w:drawing>
          </mc:Choice>
          <mc:Fallback>
            <w:pict>
              <v:line w14:anchorId="4D31A61D" id="Connecteur droit 3" o:spid="_x0000_s1026" style="position:absolute;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53pt,4.5pt" to="297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" strokecolor="windowText" strokeweight="1.5pt">
                <v:shadow on="t" color="black" opacity="22937f" origin=",.5" offset="0,.63889mm"/>
                <o:lock v:ext="edit" shapetype="f"/>
              </v:line>
            </w:pict>
          </mc:Fallback>
        </mc:AlternateContent>
      </w:r>
    </w:p>
    <w:p w14:paraId="74CAA091" w14:textId="77777777" w:rsidR="00625270" w:rsidRPr="00964474" w:rsidRDefault="00625270" w:rsidP="00964474">
      <w:pPr>
        <w:tabs>
          <w:tab w:val="left" w:pos="3240"/>
        </w:tabs>
        <w:jc w:val="center"/>
        <w:rPr>
          <w:rFonts w:ascii="Cambria" w:hAnsi="Cambria" w:cs="Arial"/>
          <w:b/>
        </w:rPr>
      </w:pPr>
      <w:r w:rsidRPr="00964474">
        <w:rPr>
          <w:rFonts w:ascii="Cambria" w:hAnsi="Cambria" w:cs="Arial"/>
          <w:b/>
        </w:rPr>
        <w:t>BUREAU DE LA COMMUNICATION</w:t>
      </w:r>
    </w:p>
    <w:p w14:paraId="48860829" w14:textId="276E41D0" w:rsidR="00625270" w:rsidRPr="00964474" w:rsidRDefault="00CF74FD" w:rsidP="00964474">
      <w:pPr>
        <w:tabs>
          <w:tab w:val="left" w:pos="3240"/>
        </w:tabs>
        <w:jc w:val="center"/>
        <w:rPr>
          <w:rFonts w:ascii="Cambria" w:hAnsi="Cambria" w:cs="Arial"/>
          <w:b/>
          <w:i/>
        </w:rPr>
      </w:pPr>
      <w:r>
        <w:rPr>
          <w:rFonts w:ascii="Cambria" w:hAnsi="Cambria" w:cs="Arial"/>
          <w:b/>
          <w:i/>
        </w:rPr>
        <w:t>Mercredi</w:t>
      </w:r>
      <w:r w:rsidR="00625270" w:rsidRPr="00964474">
        <w:rPr>
          <w:rFonts w:ascii="Cambria" w:hAnsi="Cambria" w:cs="Arial"/>
          <w:b/>
          <w:i/>
        </w:rPr>
        <w:t xml:space="preserve"> </w:t>
      </w:r>
      <w:r>
        <w:rPr>
          <w:rFonts w:ascii="Cambria" w:hAnsi="Cambria" w:cs="Arial"/>
          <w:b/>
          <w:i/>
        </w:rPr>
        <w:t>25</w:t>
      </w:r>
      <w:r w:rsidR="00302594">
        <w:rPr>
          <w:rFonts w:ascii="Cambria" w:hAnsi="Cambria" w:cs="Arial"/>
          <w:b/>
          <w:i/>
        </w:rPr>
        <w:t xml:space="preserve"> août</w:t>
      </w:r>
      <w:r w:rsidR="00625270" w:rsidRPr="00964474">
        <w:rPr>
          <w:rFonts w:ascii="Cambria" w:hAnsi="Cambria" w:cs="Arial"/>
          <w:b/>
          <w:i/>
        </w:rPr>
        <w:t xml:space="preserve"> 202</w:t>
      </w:r>
      <w:r w:rsidR="007E62B3" w:rsidRPr="00964474">
        <w:rPr>
          <w:rFonts w:ascii="Cambria" w:hAnsi="Cambria" w:cs="Arial"/>
          <w:b/>
          <w:i/>
        </w:rPr>
        <w:t>1</w:t>
      </w:r>
    </w:p>
    <w:p w14:paraId="58F3DB1E" w14:textId="77777777" w:rsidR="00625270" w:rsidRPr="00964474" w:rsidRDefault="00625270" w:rsidP="00964474">
      <w:pPr>
        <w:tabs>
          <w:tab w:val="left" w:pos="3240"/>
        </w:tabs>
        <w:jc w:val="both"/>
        <w:rPr>
          <w:rFonts w:ascii="Cambria" w:hAnsi="Cambria"/>
        </w:rPr>
      </w:pPr>
      <w:r w:rsidRPr="00964474">
        <w:rPr>
          <w:rFonts w:ascii="Cambria" w:hAnsi="Cambria"/>
          <w:noProof/>
          <w:lang w:eastAsia="fr-FR"/>
        </w:rPr>
        <mc:AlternateContent>
          <mc:Choice Requires="wps">
            <w:drawing>
              <wp:anchor distT="4294967294" distB="4294967294" distL="114300" distR="114300" simplePos="0" relativeHeight="251661312" behindDoc="0" locked="0" layoutInCell="1" allowOverlap="1" wp14:anchorId="65585A7E" wp14:editId="099491CE">
                <wp:simplePos x="0" y="0"/>
                <wp:positionH relativeFrom="column">
                  <wp:posOffset>1943100</wp:posOffset>
                </wp:positionH>
                <wp:positionV relativeFrom="paragraph">
                  <wp:posOffset>82550</wp:posOffset>
                </wp:positionV>
                <wp:extent cx="1828800" cy="0"/>
                <wp:effectExtent l="38100" t="19050" r="76200" b="95250"/>
                <wp:wrapNone/>
                <wp:docPr id="2" name="Connecteur droit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28800" cy="0"/>
                        </a:xfrm>
                        <a:prstGeom prst="line">
                          <a:avLst/>
                        </a:prstGeom>
                        <a:noFill/>
                        <a:ln w="19050" cap="flat" cmpd="sng" algn="ctr">
                          <a:solidFill>
                            <a:srgbClr val="000000"/>
                          </a:solidFill>
                          <a:prstDash val="solid"/>
                        </a:ln>
                        <a:effectLst>
                          <a:outerShdw blurRad="40000" dist="23000" dir="5400000" rotWithShape="0">
                            <a:srgbClr val="000000">
                              <a:alpha val="35000"/>
                            </a:srgbClr>
                          </a:outerShdw>
                        </a:effectLst>
                      </wps:spPr>
                      <wps:bodyPr/>
                    </wps:wsp>
                  </a:graphicData>
                </a:graphic>
                <wp14:sizeRelH relativeFrom="page">
                  <wp14:pctWidth>0</wp14:pctWidth>
                </wp14:sizeRelH>
                <wp14:sizeRelV relativeFrom="page">
                  <wp14:pctHeight>0</wp14:pctHeight>
                </wp14:sizeRelV>
              </wp:anchor>
            </w:drawing>
          </mc:Choice>
          <mc:Fallback>
            <w:pict>
              <v:line w14:anchorId="54D43DCA" id="Connecteur droit 1"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53pt,6.5pt" to="297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" strokeweight="1.5pt">
                <v:shadow on="t" color="black" opacity="22937f" origin=",.5" offset="0,.63889mm"/>
                <o:lock v:ext="edit" shapetype="f"/>
              </v:line>
            </w:pict>
          </mc:Fallback>
        </mc:AlternateContent>
      </w:r>
    </w:p>
    <w:p w14:paraId="1E2A0004" w14:textId="70913D35" w:rsidR="00625270" w:rsidRPr="00964474" w:rsidRDefault="00625270" w:rsidP="00964474">
      <w:pPr>
        <w:overflowPunct w:val="0"/>
        <w:autoSpaceDE w:val="0"/>
        <w:autoSpaceDN w:val="0"/>
        <w:adjustRightInd w:val="0"/>
        <w:spacing w:before="120"/>
        <w:jc w:val="both"/>
        <w:rPr>
          <w:rFonts w:ascii="Cambria" w:hAnsi="Cambria"/>
          <w:b/>
          <w:lang w:eastAsia="fr-FR"/>
        </w:rPr>
      </w:pPr>
    </w:p>
    <w:p w14:paraId="4D703140" w14:textId="641E3027" w:rsidR="004C71F3" w:rsidRPr="00964474" w:rsidRDefault="004C71F3" w:rsidP="00964474">
      <w:pPr>
        <w:pBdr>
          <w:top w:val="single" w:sz="4" w:space="0" w:color="auto"/>
          <w:left w:val="single" w:sz="4" w:space="4" w:color="auto"/>
          <w:bottom w:val="single" w:sz="4" w:space="1" w:color="auto"/>
          <w:right w:val="single" w:sz="4" w:space="4" w:color="auto"/>
        </w:pBdr>
        <w:tabs>
          <w:tab w:val="center" w:pos="4536"/>
          <w:tab w:val="left" w:pos="7440"/>
        </w:tabs>
        <w:jc w:val="center"/>
        <w:rPr>
          <w:rFonts w:ascii="Cambria" w:hAnsi="Cambria"/>
          <w:b/>
        </w:rPr>
      </w:pPr>
      <w:r w:rsidRPr="00964474">
        <w:rPr>
          <w:rFonts w:ascii="Cambria" w:hAnsi="Cambria"/>
          <w:b/>
        </w:rPr>
        <w:t>Compte rendu du Conseil des ministres</w:t>
      </w:r>
    </w:p>
    <w:p w14:paraId="013FEBA0" w14:textId="11E1A437" w:rsidR="00E226B8" w:rsidRDefault="00E226B8" w:rsidP="00E226B8">
      <w:pPr>
        <w:pStyle w:val="-LettreTexteGEDA"/>
        <w:spacing w:before="0"/>
        <w:ind w:firstLine="0"/>
        <w:rPr>
          <w:rFonts w:ascii="Cambria" w:hAnsi="Cambria"/>
          <w:b/>
          <w:bCs/>
          <w:noProof w:val="0"/>
          <w:szCs w:val="24"/>
        </w:rPr>
      </w:pPr>
    </w:p>
    <w:p w14:paraId="1307A247" w14:textId="26E93F48" w:rsidR="00CF74FD" w:rsidRDefault="00CF74FD" w:rsidP="007F7692">
      <w:pPr>
        <w:spacing w:after="120"/>
        <w:jc w:val="both"/>
        <w:rPr>
          <w:rFonts w:ascii="Cambria" w:hAnsi="Cambria"/>
          <w:b/>
          <w:bCs/>
          <w:lang w:eastAsia="fr-FR"/>
        </w:rPr>
      </w:pPr>
    </w:p>
    <w:p w14:paraId="03D5D585" w14:textId="63843E76" w:rsidR="00BB7193" w:rsidRPr="00BB7193" w:rsidRDefault="00BB7193" w:rsidP="00BB7193">
      <w:pPr>
        <w:spacing w:before="100" w:beforeAutospacing="1" w:after="100" w:afterAutospacing="1"/>
        <w:jc w:val="both"/>
        <w:rPr>
          <w:rFonts w:ascii="Cambria" w:hAnsi="Cambria"/>
          <w:lang w:eastAsia="fr-FR"/>
        </w:rPr>
      </w:pPr>
      <w:r w:rsidRPr="00BB7193">
        <w:rPr>
          <w:rFonts w:ascii="Cambria" w:hAnsi="Cambria"/>
          <w:b/>
          <w:bCs/>
          <w:lang w:eastAsia="fr-FR"/>
        </w:rPr>
        <w:t xml:space="preserve">Délégation au développement des </w:t>
      </w:r>
      <w:proofErr w:type="gramStart"/>
      <w:r w:rsidRPr="00BB7193">
        <w:rPr>
          <w:rFonts w:ascii="Cambria" w:hAnsi="Cambria"/>
          <w:b/>
          <w:bCs/>
          <w:lang w:eastAsia="fr-FR"/>
        </w:rPr>
        <w:t>communes:</w:t>
      </w:r>
      <w:proofErr w:type="gramEnd"/>
      <w:r w:rsidRPr="00BB7193">
        <w:rPr>
          <w:rFonts w:ascii="Cambria" w:hAnsi="Cambria"/>
          <w:b/>
          <w:bCs/>
          <w:lang w:eastAsia="fr-FR"/>
        </w:rPr>
        <w:t xml:space="preserve"> subventions aux municipalités</w:t>
      </w:r>
    </w:p>
    <w:p w14:paraId="3D6CF1DC" w14:textId="77777777" w:rsidR="00BB7193" w:rsidRPr="00BB7193" w:rsidRDefault="00BB7193" w:rsidP="00BB7193">
      <w:pPr>
        <w:spacing w:before="100" w:beforeAutospacing="1" w:after="100" w:afterAutospacing="1"/>
        <w:jc w:val="both"/>
        <w:rPr>
          <w:rFonts w:ascii="Cambria" w:hAnsi="Cambria"/>
          <w:lang w:eastAsia="fr-FR"/>
        </w:rPr>
      </w:pPr>
      <w:r w:rsidRPr="00BB7193">
        <w:rPr>
          <w:rFonts w:ascii="Cambria" w:hAnsi="Cambria"/>
          <w:lang w:eastAsia="fr-FR"/>
        </w:rPr>
        <w:t>Le Conseil des ministres a validé 18 nouvelles subventions d’opérations d’investissements communaux au titre du concours financier de la Polynésie française apporté aux communes, ou groupements de communes et instruites par le service de la Délégation au Développement des Communes (DDC).</w:t>
      </w:r>
    </w:p>
    <w:p w14:paraId="17876025" w14:textId="77777777" w:rsidR="00BB7193" w:rsidRPr="00BB7193" w:rsidRDefault="00BB7193" w:rsidP="00BB7193">
      <w:pPr>
        <w:spacing w:before="100" w:beforeAutospacing="1" w:after="100" w:afterAutospacing="1"/>
        <w:jc w:val="both"/>
        <w:rPr>
          <w:rFonts w:ascii="Cambria" w:hAnsi="Cambria"/>
          <w:lang w:eastAsia="fr-FR"/>
        </w:rPr>
      </w:pPr>
      <w:r w:rsidRPr="00BB7193">
        <w:rPr>
          <w:rFonts w:ascii="Cambria" w:hAnsi="Cambria"/>
          <w:lang w:eastAsia="fr-FR"/>
        </w:rPr>
        <w:t xml:space="preserve">Ces opérations représentent un investissement total cumulé d’environ 438 millions </w:t>
      </w:r>
      <w:proofErr w:type="spellStart"/>
      <w:r w:rsidRPr="00BB7193">
        <w:rPr>
          <w:rFonts w:ascii="Cambria" w:hAnsi="Cambria"/>
          <w:lang w:eastAsia="fr-FR"/>
        </w:rPr>
        <w:t>Fcfp</w:t>
      </w:r>
      <w:proofErr w:type="spellEnd"/>
      <w:r w:rsidRPr="00BB7193">
        <w:rPr>
          <w:rFonts w:ascii="Cambria" w:hAnsi="Cambria"/>
          <w:lang w:eastAsia="fr-FR"/>
        </w:rPr>
        <w:t xml:space="preserve"> et bénéficient d’un concours de la Polynésie française à concurrence de 261 millions </w:t>
      </w:r>
      <w:proofErr w:type="spellStart"/>
      <w:r w:rsidRPr="00BB7193">
        <w:rPr>
          <w:rFonts w:ascii="Cambria" w:hAnsi="Cambria"/>
          <w:lang w:eastAsia="fr-FR"/>
        </w:rPr>
        <w:t>Fcfp</w:t>
      </w:r>
      <w:proofErr w:type="spellEnd"/>
      <w:r w:rsidRPr="00BB7193">
        <w:rPr>
          <w:rFonts w:ascii="Cambria" w:hAnsi="Cambria"/>
          <w:lang w:eastAsia="fr-FR"/>
        </w:rPr>
        <w:t>, soit près de 60%. Les octrois de ce jour concernent des opérations d’investissement d’études et d’acquisitions.</w:t>
      </w:r>
    </w:p>
    <w:p w14:paraId="3F803027" w14:textId="7D769257" w:rsidR="00BB7193" w:rsidRPr="00BB7193" w:rsidRDefault="00BB7193" w:rsidP="00BB7193">
      <w:pPr>
        <w:spacing w:before="100" w:beforeAutospacing="1" w:after="100" w:afterAutospacing="1"/>
        <w:jc w:val="both"/>
        <w:rPr>
          <w:rFonts w:ascii="Cambria" w:hAnsi="Cambria"/>
          <w:lang w:eastAsia="fr-FR"/>
        </w:rPr>
      </w:pPr>
      <w:r w:rsidRPr="00BB7193">
        <w:rPr>
          <w:rFonts w:ascii="Cambria" w:hAnsi="Cambria"/>
          <w:lang w:eastAsia="fr-FR"/>
        </w:rPr>
        <w:t xml:space="preserve">Les communes de Papeete et de Nukutavake bénéficient de l’aide du Pays pour les deux études </w:t>
      </w:r>
      <w:proofErr w:type="gramStart"/>
      <w:r w:rsidRPr="00BB7193">
        <w:rPr>
          <w:rFonts w:ascii="Cambria" w:hAnsi="Cambria"/>
          <w:lang w:eastAsia="fr-FR"/>
        </w:rPr>
        <w:t>suivantes:</w:t>
      </w:r>
      <w:proofErr w:type="gramEnd"/>
    </w:p>
    <w:p w14:paraId="33C4114D" w14:textId="2483E3DA" w:rsidR="00BB7193" w:rsidRPr="00BB7193" w:rsidRDefault="00BB7193" w:rsidP="00BB7193">
      <w:pPr>
        <w:spacing w:before="100" w:beforeAutospacing="1" w:after="100" w:afterAutospacing="1"/>
        <w:jc w:val="both"/>
        <w:rPr>
          <w:rFonts w:ascii="Cambria" w:hAnsi="Cambria"/>
          <w:lang w:eastAsia="fr-FR"/>
        </w:rPr>
      </w:pPr>
      <w:r w:rsidRPr="00BB7193">
        <w:rPr>
          <w:rFonts w:ascii="Cambria" w:hAnsi="Cambria"/>
          <w:lang w:eastAsia="fr-FR"/>
        </w:rPr>
        <w:t xml:space="preserve">La première </w:t>
      </w:r>
      <w:r w:rsidR="00D56ED6">
        <w:rPr>
          <w:rFonts w:ascii="Cambria" w:hAnsi="Cambria"/>
          <w:lang w:eastAsia="fr-FR"/>
        </w:rPr>
        <w:t xml:space="preserve">étude </w:t>
      </w:r>
      <w:r w:rsidRPr="00BB7193">
        <w:rPr>
          <w:rFonts w:ascii="Cambria" w:hAnsi="Cambria"/>
          <w:lang w:eastAsia="fr-FR"/>
        </w:rPr>
        <w:t xml:space="preserve">porte sur le percement de la voirie principale du quartier de </w:t>
      </w:r>
      <w:proofErr w:type="spellStart"/>
      <w:r w:rsidRPr="00BB7193">
        <w:rPr>
          <w:rFonts w:ascii="Cambria" w:hAnsi="Cambria"/>
          <w:lang w:eastAsia="fr-FR"/>
        </w:rPr>
        <w:t>Manuhoe</w:t>
      </w:r>
      <w:proofErr w:type="spellEnd"/>
      <w:r w:rsidRPr="00BB7193">
        <w:rPr>
          <w:rFonts w:ascii="Cambria" w:hAnsi="Cambria"/>
          <w:lang w:eastAsia="fr-FR"/>
        </w:rPr>
        <w:t xml:space="preserve"> à réaliser dans le cadre du Projet de Rénovation Urbaine (PRU) de Papeete. La commune a pour objectifs d’y traiter les dysfonctionnements urbains (assainissement, accès, dégradation du bâti en général, habitat insalubre…) et de répondre à des situations de précarité, des difficultés économiques et sociales des familles sur site. Le projet consiste à désenclaver la zone par la création d’une voie transversale. Les acquisitions nécessaires à l’emprise des travaux étant en cours, la commune souhaite d’ores et déjà lancer les études préalables pour un montant de 13.5 millions </w:t>
      </w:r>
      <w:proofErr w:type="spellStart"/>
      <w:r w:rsidRPr="00BB7193">
        <w:rPr>
          <w:rFonts w:ascii="Cambria" w:hAnsi="Cambria"/>
          <w:lang w:eastAsia="fr-FR"/>
        </w:rPr>
        <w:t>Fcfp</w:t>
      </w:r>
      <w:proofErr w:type="spellEnd"/>
      <w:r w:rsidRPr="00BB7193">
        <w:rPr>
          <w:rFonts w:ascii="Cambria" w:hAnsi="Cambria"/>
          <w:lang w:eastAsia="fr-FR"/>
        </w:rPr>
        <w:t xml:space="preserve">, auquel le Pays apporte un concours financier de 80%, soit une participation de 10.8 millions </w:t>
      </w:r>
      <w:proofErr w:type="spellStart"/>
      <w:r w:rsidRPr="00BB7193">
        <w:rPr>
          <w:rFonts w:ascii="Cambria" w:hAnsi="Cambria"/>
          <w:lang w:eastAsia="fr-FR"/>
        </w:rPr>
        <w:t>Fcfp</w:t>
      </w:r>
      <w:proofErr w:type="spellEnd"/>
      <w:r w:rsidRPr="00BB7193">
        <w:rPr>
          <w:rFonts w:ascii="Cambria" w:hAnsi="Cambria"/>
          <w:lang w:eastAsia="fr-FR"/>
        </w:rPr>
        <w:t>.</w:t>
      </w:r>
    </w:p>
    <w:p w14:paraId="03D8753E" w14:textId="77777777" w:rsidR="00BB7193" w:rsidRPr="00BB7193" w:rsidRDefault="00BB7193" w:rsidP="00BB7193">
      <w:pPr>
        <w:spacing w:before="100" w:beforeAutospacing="1" w:after="100" w:afterAutospacing="1"/>
        <w:jc w:val="both"/>
        <w:rPr>
          <w:rFonts w:ascii="Cambria" w:hAnsi="Cambria"/>
          <w:lang w:eastAsia="fr-FR"/>
        </w:rPr>
      </w:pPr>
      <w:r w:rsidRPr="00BB7193">
        <w:rPr>
          <w:rFonts w:ascii="Cambria" w:hAnsi="Cambria"/>
          <w:lang w:eastAsia="fr-FR"/>
        </w:rPr>
        <w:t xml:space="preserve">La seconde étude concerne le réseau électrique des atolls de Nukutavake, Vahitahi et Vairaatea. Les installations actuelles de production et de distribution d’énergie de ces atolls sont vétustes et délabrées. Outre ces non-conformités, la commune rencontre actuellement des défauts sur son réseau qui impactent la distribution électrique. En prévision de la remise aux normes de celles-ci sur les 3 communes, la « commune mère » souhaite lancer des études préalables sur ses installations électriques et sur celles de ses communes associées de Vahitahi et Vairaatea. L’étude est évaluée à 11.5 millions </w:t>
      </w:r>
      <w:proofErr w:type="spellStart"/>
      <w:r w:rsidRPr="00BB7193">
        <w:rPr>
          <w:rFonts w:ascii="Cambria" w:hAnsi="Cambria"/>
          <w:lang w:eastAsia="fr-FR"/>
        </w:rPr>
        <w:t>Fcfp</w:t>
      </w:r>
      <w:proofErr w:type="spellEnd"/>
      <w:r w:rsidRPr="00BB7193">
        <w:rPr>
          <w:rFonts w:ascii="Cambria" w:hAnsi="Cambria"/>
          <w:lang w:eastAsia="fr-FR"/>
        </w:rPr>
        <w:t xml:space="preserve"> avec une participation du Pays d’environ 10.4 millions </w:t>
      </w:r>
      <w:proofErr w:type="spellStart"/>
      <w:r w:rsidRPr="00BB7193">
        <w:rPr>
          <w:rFonts w:ascii="Cambria" w:hAnsi="Cambria"/>
          <w:lang w:eastAsia="fr-FR"/>
        </w:rPr>
        <w:t>Fcfp</w:t>
      </w:r>
      <w:proofErr w:type="spellEnd"/>
      <w:r w:rsidRPr="00BB7193">
        <w:rPr>
          <w:rFonts w:ascii="Cambria" w:hAnsi="Cambria"/>
          <w:lang w:eastAsia="fr-FR"/>
        </w:rPr>
        <w:t>, soit une participation de 90%.</w:t>
      </w:r>
    </w:p>
    <w:p w14:paraId="22167CD4" w14:textId="77777777" w:rsidR="00BB7193" w:rsidRPr="00BB7193" w:rsidRDefault="00BB7193" w:rsidP="00BB7193">
      <w:pPr>
        <w:spacing w:before="100" w:beforeAutospacing="1" w:after="100" w:afterAutospacing="1"/>
        <w:jc w:val="both"/>
        <w:rPr>
          <w:rFonts w:ascii="Cambria" w:hAnsi="Cambria"/>
          <w:lang w:eastAsia="fr-FR"/>
        </w:rPr>
      </w:pPr>
      <w:r w:rsidRPr="00BB7193">
        <w:rPr>
          <w:rFonts w:ascii="Cambria" w:hAnsi="Cambria"/>
          <w:lang w:eastAsia="fr-FR"/>
        </w:rPr>
        <w:lastRenderedPageBreak/>
        <w:t>Enfin, les seize derniers octrois qui viennent compléter la liste de ce jour se destinent aux communes d’</w:t>
      </w:r>
      <w:proofErr w:type="spellStart"/>
      <w:r w:rsidRPr="00BB7193">
        <w:rPr>
          <w:rFonts w:ascii="Cambria" w:hAnsi="Cambria"/>
          <w:lang w:eastAsia="fr-FR"/>
        </w:rPr>
        <w:t>Anaa</w:t>
      </w:r>
      <w:proofErr w:type="spellEnd"/>
      <w:r w:rsidRPr="00BB7193">
        <w:rPr>
          <w:rFonts w:ascii="Cambria" w:hAnsi="Cambria"/>
          <w:lang w:eastAsia="fr-FR"/>
        </w:rPr>
        <w:t xml:space="preserve">, Fakarava, Gambier, Hikueru, Manihi, Nukutavake, </w:t>
      </w:r>
      <w:proofErr w:type="spellStart"/>
      <w:r w:rsidRPr="00BB7193">
        <w:rPr>
          <w:rFonts w:ascii="Cambria" w:hAnsi="Cambria"/>
          <w:lang w:eastAsia="fr-FR"/>
        </w:rPr>
        <w:t>Reao</w:t>
      </w:r>
      <w:proofErr w:type="spellEnd"/>
      <w:r w:rsidRPr="00BB7193">
        <w:rPr>
          <w:rFonts w:ascii="Cambria" w:hAnsi="Cambria"/>
          <w:lang w:eastAsia="fr-FR"/>
        </w:rPr>
        <w:t xml:space="preserve">, Rurutu, Takaroa, </w:t>
      </w:r>
      <w:proofErr w:type="spellStart"/>
      <w:r w:rsidRPr="00BB7193">
        <w:rPr>
          <w:rFonts w:ascii="Cambria" w:hAnsi="Cambria"/>
          <w:lang w:eastAsia="fr-FR"/>
        </w:rPr>
        <w:t>Taputapuatea</w:t>
      </w:r>
      <w:proofErr w:type="spellEnd"/>
      <w:r w:rsidRPr="00BB7193">
        <w:rPr>
          <w:rFonts w:ascii="Cambria" w:hAnsi="Cambria"/>
          <w:lang w:eastAsia="fr-FR"/>
        </w:rPr>
        <w:t xml:space="preserve">, Tatakoto, </w:t>
      </w:r>
      <w:proofErr w:type="spellStart"/>
      <w:r w:rsidRPr="00BB7193">
        <w:rPr>
          <w:rFonts w:ascii="Cambria" w:hAnsi="Cambria"/>
          <w:lang w:eastAsia="fr-FR"/>
        </w:rPr>
        <w:t>Teva</w:t>
      </w:r>
      <w:proofErr w:type="spellEnd"/>
      <w:r w:rsidRPr="00BB7193">
        <w:rPr>
          <w:rFonts w:ascii="Cambria" w:hAnsi="Cambria"/>
          <w:lang w:eastAsia="fr-FR"/>
        </w:rPr>
        <w:t xml:space="preserve"> i </w:t>
      </w:r>
      <w:proofErr w:type="spellStart"/>
      <w:r w:rsidRPr="00BB7193">
        <w:rPr>
          <w:rFonts w:ascii="Cambria" w:hAnsi="Cambria"/>
          <w:lang w:eastAsia="fr-FR"/>
        </w:rPr>
        <w:t>uta</w:t>
      </w:r>
      <w:proofErr w:type="spellEnd"/>
      <w:r w:rsidRPr="00BB7193">
        <w:rPr>
          <w:rFonts w:ascii="Cambria" w:hAnsi="Cambria"/>
          <w:lang w:eastAsia="fr-FR"/>
        </w:rPr>
        <w:t xml:space="preserve"> et </w:t>
      </w:r>
      <w:proofErr w:type="spellStart"/>
      <w:r w:rsidRPr="00BB7193">
        <w:rPr>
          <w:rFonts w:ascii="Cambria" w:hAnsi="Cambria"/>
          <w:lang w:eastAsia="fr-FR"/>
        </w:rPr>
        <w:t>Ua</w:t>
      </w:r>
      <w:proofErr w:type="spellEnd"/>
      <w:r w:rsidRPr="00BB7193">
        <w:rPr>
          <w:rFonts w:ascii="Cambria" w:hAnsi="Cambria"/>
          <w:lang w:eastAsia="fr-FR"/>
        </w:rPr>
        <w:t xml:space="preserve"> </w:t>
      </w:r>
      <w:proofErr w:type="spellStart"/>
      <w:r w:rsidRPr="00BB7193">
        <w:rPr>
          <w:rFonts w:ascii="Cambria" w:hAnsi="Cambria"/>
          <w:lang w:eastAsia="fr-FR"/>
        </w:rPr>
        <w:t>huka</w:t>
      </w:r>
      <w:proofErr w:type="spellEnd"/>
      <w:r w:rsidRPr="00BB7193">
        <w:rPr>
          <w:rFonts w:ascii="Cambria" w:hAnsi="Cambria"/>
          <w:lang w:eastAsia="fr-FR"/>
        </w:rPr>
        <w:t>. Ces acquisitions concernent les sous-secteurs des transports (bus scolaires et bateau de liaison), des engins (pelles hydrauliques et camions) et des équipements de collecte des déchets (camions bennes à ordures ménagères).</w:t>
      </w:r>
    </w:p>
    <w:p w14:paraId="7847450B" w14:textId="233A79CA" w:rsidR="00BB7193" w:rsidRPr="00BB7193" w:rsidRDefault="00BB7193" w:rsidP="00BB7193">
      <w:pPr>
        <w:spacing w:before="100" w:beforeAutospacing="1" w:after="100" w:afterAutospacing="1"/>
        <w:jc w:val="both"/>
        <w:rPr>
          <w:rFonts w:ascii="Cambria" w:hAnsi="Cambria"/>
          <w:lang w:eastAsia="fr-FR"/>
        </w:rPr>
      </w:pPr>
      <w:r w:rsidRPr="00BB7193">
        <w:rPr>
          <w:rFonts w:ascii="Cambria" w:hAnsi="Cambria"/>
          <w:lang w:eastAsia="fr-FR"/>
        </w:rPr>
        <w:t xml:space="preserve">L’ensemble des acquisitions est évalué à 413 millions </w:t>
      </w:r>
      <w:proofErr w:type="spellStart"/>
      <w:r w:rsidRPr="00BB7193">
        <w:rPr>
          <w:rFonts w:ascii="Cambria" w:hAnsi="Cambria"/>
          <w:lang w:eastAsia="fr-FR"/>
        </w:rPr>
        <w:t>Fcfp</w:t>
      </w:r>
      <w:proofErr w:type="spellEnd"/>
      <w:r w:rsidRPr="00BB7193">
        <w:rPr>
          <w:rFonts w:ascii="Cambria" w:hAnsi="Cambria"/>
          <w:lang w:eastAsia="fr-FR"/>
        </w:rPr>
        <w:t xml:space="preserve">, avec une participation du Pays de près de 240 millions </w:t>
      </w:r>
      <w:proofErr w:type="spellStart"/>
      <w:r w:rsidRPr="00BB7193">
        <w:rPr>
          <w:rFonts w:ascii="Cambria" w:hAnsi="Cambria"/>
          <w:lang w:eastAsia="fr-FR"/>
        </w:rPr>
        <w:t>Fcfp</w:t>
      </w:r>
      <w:proofErr w:type="spellEnd"/>
      <w:r w:rsidRPr="00BB7193">
        <w:rPr>
          <w:rFonts w:ascii="Cambria" w:hAnsi="Cambria"/>
          <w:lang w:eastAsia="fr-FR"/>
        </w:rPr>
        <w:t>, soit un taux de 58%.</w:t>
      </w:r>
      <w:r w:rsidR="00D56ED6">
        <w:rPr>
          <w:rFonts w:ascii="Cambria" w:hAnsi="Cambria"/>
          <w:lang w:eastAsia="fr-FR"/>
        </w:rPr>
        <w:t xml:space="preserve"> </w:t>
      </w:r>
      <w:r w:rsidRPr="00BB7193">
        <w:rPr>
          <w:rFonts w:ascii="Cambria" w:hAnsi="Cambria"/>
          <w:lang w:eastAsia="fr-FR"/>
        </w:rPr>
        <w:t>Dans le contexte sanitaire difficile actuellement, les nombreux soutiens du Pays au profit des investissements communaux de l’ensemble des archipels demeurent plus que jamais essentiels pour ces partenaires de la vie économique du Pays.</w:t>
      </w:r>
    </w:p>
    <w:p w14:paraId="456147CE" w14:textId="77777777" w:rsidR="00EE4F5F" w:rsidRDefault="00EE4F5F" w:rsidP="00EE4F5F">
      <w:pPr>
        <w:spacing w:before="100" w:beforeAutospacing="1" w:after="100" w:afterAutospacing="1"/>
        <w:jc w:val="both"/>
        <w:rPr>
          <w:rFonts w:ascii="Cambria" w:hAnsi="Cambria"/>
          <w:b/>
          <w:bCs/>
          <w:lang w:eastAsia="fr-FR"/>
        </w:rPr>
      </w:pPr>
    </w:p>
    <w:p w14:paraId="2D0EB3C8" w14:textId="400C725E" w:rsidR="00EE4F5F" w:rsidRDefault="00EE4F5F" w:rsidP="00EE4F5F">
      <w:pPr>
        <w:spacing w:before="100" w:beforeAutospacing="1" w:after="100" w:afterAutospacing="1"/>
        <w:jc w:val="both"/>
        <w:rPr>
          <w:rFonts w:ascii="Cambria" w:hAnsi="Cambria"/>
        </w:rPr>
      </w:pPr>
      <w:r>
        <w:rPr>
          <w:rFonts w:ascii="Cambria" w:hAnsi="Cambria"/>
          <w:b/>
          <w:bCs/>
        </w:rPr>
        <w:t xml:space="preserve">Développement de la filière bois </w:t>
      </w:r>
      <w:proofErr w:type="gramStart"/>
      <w:r>
        <w:rPr>
          <w:rFonts w:ascii="Cambria" w:hAnsi="Cambria"/>
          <w:b/>
          <w:bCs/>
        </w:rPr>
        <w:t>locale:</w:t>
      </w:r>
      <w:proofErr w:type="gramEnd"/>
      <w:r>
        <w:rPr>
          <w:rFonts w:ascii="Cambria" w:hAnsi="Cambria"/>
          <w:b/>
          <w:bCs/>
        </w:rPr>
        <w:t xml:space="preserve"> exploitation du pin des Caraïbes</w:t>
      </w:r>
    </w:p>
    <w:p w14:paraId="2813D8D3" w14:textId="77777777" w:rsidR="00EE4F5F" w:rsidRDefault="00EE4F5F" w:rsidP="00EE4F5F">
      <w:pPr>
        <w:spacing w:before="100" w:beforeAutospacing="1" w:after="100" w:afterAutospacing="1"/>
        <w:jc w:val="both"/>
        <w:rPr>
          <w:rFonts w:ascii="Cambria" w:hAnsi="Cambria"/>
        </w:rPr>
      </w:pPr>
      <w:proofErr w:type="gramStart"/>
      <w:r>
        <w:rPr>
          <w:rFonts w:ascii="Cambria" w:hAnsi="Cambria"/>
        </w:rPr>
        <w:t>Suite à</w:t>
      </w:r>
      <w:proofErr w:type="gramEnd"/>
      <w:r>
        <w:rPr>
          <w:rFonts w:ascii="Cambria" w:hAnsi="Cambria"/>
        </w:rPr>
        <w:t xml:space="preserve"> la promulgation de la loi du Pays du 9 août 2021, l'arrêté fixant les conditions d'exploitation des parcelles de pins des caraïbes privées plantées par l'administration de la Polynésie française dans le cadre de la politique de boisement des années 1980 a été adopté par le conseil des ministres.</w:t>
      </w:r>
    </w:p>
    <w:p w14:paraId="1C71CFFA" w14:textId="77777777" w:rsidR="00EE4F5F" w:rsidRDefault="00EE4F5F" w:rsidP="00EE4F5F">
      <w:pPr>
        <w:spacing w:before="100" w:beforeAutospacing="1" w:after="100" w:afterAutospacing="1"/>
        <w:jc w:val="both"/>
        <w:rPr>
          <w:rFonts w:ascii="Cambria" w:hAnsi="Cambria"/>
        </w:rPr>
      </w:pPr>
      <w:r>
        <w:rPr>
          <w:rFonts w:ascii="Cambria" w:hAnsi="Cambria"/>
        </w:rPr>
        <w:t>Cet arrêté précise les conditions dans lesquelles les plantations de pins des Caraïbes arrivées à maturité, réalisées, soit sous convention avec le Pays dans les années 1970/1980 sur des propriétés privées par l’administration, ou soit directement par les propriétaires fonciers peuvent être exploitées. Les conditions d'exploitabilité de chaque parcelle devraient satisfaire les trois critères suivants :</w:t>
      </w:r>
    </w:p>
    <w:p w14:paraId="55445B92" w14:textId="77777777" w:rsidR="00EE4F5F" w:rsidRDefault="00EE4F5F" w:rsidP="00EE4F5F">
      <w:pPr>
        <w:numPr>
          <w:ilvl w:val="0"/>
          <w:numId w:val="22"/>
        </w:numPr>
        <w:spacing w:before="100" w:beforeAutospacing="1" w:after="100" w:afterAutospacing="1"/>
        <w:jc w:val="both"/>
        <w:rPr>
          <w:rFonts w:ascii="Cambria" w:hAnsi="Cambria"/>
        </w:rPr>
      </w:pPr>
      <w:r>
        <w:rPr>
          <w:rFonts w:ascii="Cambria" w:hAnsi="Cambria"/>
        </w:rPr>
        <w:t>Les arbres de la parcelle a atteint un diamètre moyen d'exploitabilité d'au moins 25 cm ;</w:t>
      </w:r>
    </w:p>
    <w:p w14:paraId="3A79E142" w14:textId="77777777" w:rsidR="00EE4F5F" w:rsidRDefault="00EE4F5F" w:rsidP="00EE4F5F">
      <w:pPr>
        <w:numPr>
          <w:ilvl w:val="0"/>
          <w:numId w:val="22"/>
        </w:numPr>
        <w:spacing w:before="100" w:beforeAutospacing="1" w:after="100" w:afterAutospacing="1"/>
        <w:jc w:val="both"/>
        <w:rPr>
          <w:rFonts w:ascii="Cambria" w:hAnsi="Cambria"/>
        </w:rPr>
      </w:pPr>
      <w:r>
        <w:rPr>
          <w:rFonts w:ascii="Cambria" w:hAnsi="Cambria"/>
        </w:rPr>
        <w:t>La parcelle contient un volume de bois marchand exploitable d'au moins 200 m3 par hectare ;</w:t>
      </w:r>
    </w:p>
    <w:p w14:paraId="70C3660F" w14:textId="77777777" w:rsidR="00EE4F5F" w:rsidRDefault="00EE4F5F" w:rsidP="00EE4F5F">
      <w:pPr>
        <w:numPr>
          <w:ilvl w:val="0"/>
          <w:numId w:val="22"/>
        </w:numPr>
        <w:spacing w:before="100" w:beforeAutospacing="1" w:after="100" w:afterAutospacing="1"/>
        <w:jc w:val="both"/>
        <w:rPr>
          <w:rFonts w:ascii="Cambria" w:hAnsi="Cambria"/>
        </w:rPr>
      </w:pPr>
      <w:proofErr w:type="gramStart"/>
      <w:r>
        <w:rPr>
          <w:rFonts w:ascii="Cambria" w:hAnsi="Cambria"/>
        </w:rPr>
        <w:t>lorsque</w:t>
      </w:r>
      <w:proofErr w:type="gramEnd"/>
      <w:r>
        <w:rPr>
          <w:rFonts w:ascii="Cambria" w:hAnsi="Cambria"/>
        </w:rPr>
        <w:t xml:space="preserve"> des pistes d’exploitation forestière doivent être réalisées, la longueur totale ne peut pas dépasser le ratio de 200 mètres linéaires par hectare.</w:t>
      </w:r>
    </w:p>
    <w:p w14:paraId="132F396D" w14:textId="77777777" w:rsidR="00EE4F5F" w:rsidRDefault="00EE4F5F" w:rsidP="00EE4F5F">
      <w:pPr>
        <w:spacing w:before="100" w:beforeAutospacing="1" w:after="100" w:afterAutospacing="1"/>
        <w:jc w:val="both"/>
        <w:rPr>
          <w:rFonts w:ascii="Cambria" w:hAnsi="Cambria"/>
        </w:rPr>
      </w:pPr>
      <w:r>
        <w:rPr>
          <w:rFonts w:ascii="Cambria" w:hAnsi="Cambria"/>
        </w:rPr>
        <w:t>Le prix du mètre cube de bois abattus mesurés bord de route billonnés est fixé comme suit :</w:t>
      </w:r>
    </w:p>
    <w:p w14:paraId="15BAB456" w14:textId="77777777" w:rsidR="00EE4F5F" w:rsidRDefault="00EE4F5F" w:rsidP="00EE4F5F">
      <w:pPr>
        <w:numPr>
          <w:ilvl w:val="0"/>
          <w:numId w:val="19"/>
        </w:numPr>
        <w:spacing w:before="100" w:beforeAutospacing="1" w:after="100" w:afterAutospacing="1"/>
        <w:jc w:val="both"/>
        <w:rPr>
          <w:rFonts w:ascii="Cambria" w:hAnsi="Cambria"/>
        </w:rPr>
      </w:pPr>
      <w:proofErr w:type="gramStart"/>
      <w:r>
        <w:rPr>
          <w:rFonts w:ascii="Cambria" w:hAnsi="Cambria"/>
        </w:rPr>
        <w:t>pour</w:t>
      </w:r>
      <w:proofErr w:type="gramEnd"/>
      <w:r>
        <w:rPr>
          <w:rFonts w:ascii="Cambria" w:hAnsi="Cambria"/>
        </w:rPr>
        <w:t xml:space="preserve"> un diamètre de 25 cm à 40 cm : 1 000 </w:t>
      </w:r>
      <w:proofErr w:type="spellStart"/>
      <w:r>
        <w:rPr>
          <w:rFonts w:ascii="Cambria" w:hAnsi="Cambria"/>
        </w:rPr>
        <w:t>Fcfp</w:t>
      </w:r>
      <w:proofErr w:type="spellEnd"/>
      <w:r>
        <w:rPr>
          <w:rFonts w:ascii="Cambria" w:hAnsi="Cambria"/>
        </w:rPr>
        <w:t xml:space="preserve"> le m</w:t>
      </w:r>
      <w:r>
        <w:rPr>
          <w:rFonts w:ascii="Cambria" w:hAnsi="Cambria"/>
          <w:vertAlign w:val="superscript"/>
        </w:rPr>
        <w:t>3</w:t>
      </w:r>
      <w:r>
        <w:rPr>
          <w:rFonts w:ascii="Cambria" w:hAnsi="Cambria"/>
        </w:rPr>
        <w:t>;</w:t>
      </w:r>
    </w:p>
    <w:p w14:paraId="36A50163" w14:textId="77777777" w:rsidR="00EE4F5F" w:rsidRDefault="00EE4F5F" w:rsidP="00EE4F5F">
      <w:pPr>
        <w:numPr>
          <w:ilvl w:val="0"/>
          <w:numId w:val="19"/>
        </w:numPr>
        <w:spacing w:before="100" w:beforeAutospacing="1" w:after="100" w:afterAutospacing="1"/>
        <w:jc w:val="both"/>
        <w:rPr>
          <w:rFonts w:ascii="Cambria" w:hAnsi="Cambria"/>
        </w:rPr>
      </w:pPr>
      <w:proofErr w:type="gramStart"/>
      <w:r>
        <w:rPr>
          <w:rFonts w:ascii="Cambria" w:hAnsi="Cambria"/>
        </w:rPr>
        <w:t>pour</w:t>
      </w:r>
      <w:proofErr w:type="gramEnd"/>
      <w:r>
        <w:rPr>
          <w:rFonts w:ascii="Cambria" w:hAnsi="Cambria"/>
        </w:rPr>
        <w:t xml:space="preserve"> un diamètre supérieur à 40 cm : 2 000 </w:t>
      </w:r>
      <w:proofErr w:type="spellStart"/>
      <w:r>
        <w:rPr>
          <w:rFonts w:ascii="Cambria" w:hAnsi="Cambria"/>
        </w:rPr>
        <w:t>Fcfp</w:t>
      </w:r>
      <w:proofErr w:type="spellEnd"/>
      <w:r>
        <w:rPr>
          <w:rFonts w:ascii="Cambria" w:hAnsi="Cambria"/>
        </w:rPr>
        <w:t xml:space="preserve"> le m</w:t>
      </w:r>
      <w:r>
        <w:rPr>
          <w:rFonts w:ascii="Cambria" w:hAnsi="Cambria"/>
          <w:vertAlign w:val="superscript"/>
        </w:rPr>
        <w:t>3</w:t>
      </w:r>
      <w:r>
        <w:rPr>
          <w:rFonts w:ascii="Cambria" w:hAnsi="Cambria"/>
        </w:rPr>
        <w:t>.</w:t>
      </w:r>
    </w:p>
    <w:p w14:paraId="411DBDFF" w14:textId="4EC8109B" w:rsidR="00EE4F5F" w:rsidRDefault="00EE4F5F" w:rsidP="00A678AE">
      <w:pPr>
        <w:spacing w:before="100" w:beforeAutospacing="1" w:after="100" w:afterAutospacing="1"/>
        <w:jc w:val="both"/>
        <w:rPr>
          <w:rFonts w:ascii="Cambria" w:hAnsi="Cambria"/>
        </w:rPr>
      </w:pPr>
      <w:r>
        <w:rPr>
          <w:rFonts w:ascii="Cambria" w:hAnsi="Cambria"/>
        </w:rPr>
        <w:t>Ce nouveau dispositif de partenariat entre les propriétaires privés, les scieries et le Pays, mis en place par la loi de Pays du 9 août 2021, permettra au Pays de prendre en charge les travaux d'aménagement d'accès aux parcelles et aux propriétaires de vendre leur bois à un prix fixé afin de les inciter à valoriser leurs parcelles et permettre ainsi aux scieries d'accéder à la ressource en bois. Les propriétaires fonciers concernés sont invités à prendre l’attache de la Direction de l’Agriculture pour s’informer sur le sujet.</w:t>
      </w:r>
    </w:p>
    <w:p w14:paraId="6C31D7EF" w14:textId="77777777" w:rsidR="00EE4F5F" w:rsidRPr="00EE4F5F" w:rsidRDefault="00EE4F5F" w:rsidP="00A678AE">
      <w:pPr>
        <w:spacing w:before="100" w:beforeAutospacing="1" w:after="100" w:afterAutospacing="1"/>
        <w:jc w:val="both"/>
        <w:rPr>
          <w:rFonts w:ascii="Cambria" w:hAnsi="Cambria"/>
        </w:rPr>
      </w:pPr>
    </w:p>
    <w:p w14:paraId="74C5F9EE" w14:textId="77777777" w:rsidR="00F336CA" w:rsidRDefault="00F336CA" w:rsidP="00F336CA">
      <w:pPr>
        <w:spacing w:before="100" w:beforeAutospacing="1" w:after="100" w:afterAutospacing="1"/>
        <w:jc w:val="both"/>
        <w:rPr>
          <w:rFonts w:ascii="Cambria" w:hAnsi="Cambria"/>
          <w:sz w:val="22"/>
          <w:szCs w:val="22"/>
          <w:lang w:eastAsia="fr-FR"/>
        </w:rPr>
      </w:pPr>
      <w:r>
        <w:rPr>
          <w:rFonts w:ascii="Cambria" w:hAnsi="Cambria"/>
          <w:b/>
          <w:bCs/>
          <w:lang w:eastAsia="fr-FR"/>
        </w:rPr>
        <w:lastRenderedPageBreak/>
        <w:t>Etat d'avancement du projet SWAC du Centre hospitalier de Polynésie française</w:t>
      </w:r>
    </w:p>
    <w:p w14:paraId="6A120FA0" w14:textId="77777777" w:rsidR="00F336CA" w:rsidRDefault="00F336CA" w:rsidP="00F336CA">
      <w:pPr>
        <w:spacing w:before="100" w:beforeAutospacing="1" w:after="100" w:afterAutospacing="1"/>
        <w:jc w:val="both"/>
        <w:rPr>
          <w:rFonts w:ascii="Cambria" w:hAnsi="Cambria"/>
          <w:lang w:eastAsia="fr-FR"/>
        </w:rPr>
      </w:pPr>
      <w:r>
        <w:rPr>
          <w:rFonts w:ascii="Cambria" w:hAnsi="Cambria"/>
          <w:lang w:eastAsia="fr-FR"/>
        </w:rPr>
        <w:t xml:space="preserve">Le système SWAC (acronyme de </w:t>
      </w:r>
      <w:proofErr w:type="spellStart"/>
      <w:r>
        <w:rPr>
          <w:rFonts w:ascii="Cambria" w:hAnsi="Cambria"/>
          <w:lang w:eastAsia="fr-FR"/>
        </w:rPr>
        <w:t>Sea</w:t>
      </w:r>
      <w:proofErr w:type="spellEnd"/>
      <w:r>
        <w:rPr>
          <w:rFonts w:ascii="Cambria" w:hAnsi="Cambria"/>
          <w:lang w:eastAsia="fr-FR"/>
        </w:rPr>
        <w:t xml:space="preserve"> Water Air </w:t>
      </w:r>
      <w:proofErr w:type="spellStart"/>
      <w:r>
        <w:rPr>
          <w:rFonts w:ascii="Cambria" w:hAnsi="Cambria"/>
          <w:lang w:eastAsia="fr-FR"/>
        </w:rPr>
        <w:t>Conditioning</w:t>
      </w:r>
      <w:proofErr w:type="spellEnd"/>
      <w:r>
        <w:rPr>
          <w:rFonts w:ascii="Cambria" w:hAnsi="Cambria"/>
          <w:lang w:eastAsia="fr-FR"/>
        </w:rPr>
        <w:t xml:space="preserve">) consiste à puiser de l’eau de mer en profondeur pour alimenter un circuit de climatisation. A l’instar des installations existantes déployées sur deux complexes hôteliers privés, à Bora Bora (2,4 km et 1,65 </w:t>
      </w:r>
      <w:proofErr w:type="spellStart"/>
      <w:r>
        <w:rPr>
          <w:rFonts w:ascii="Cambria" w:hAnsi="Cambria"/>
          <w:lang w:eastAsia="fr-FR"/>
        </w:rPr>
        <w:t>MWf</w:t>
      </w:r>
      <w:proofErr w:type="spellEnd"/>
      <w:r>
        <w:rPr>
          <w:rFonts w:ascii="Cambria" w:hAnsi="Cambria"/>
          <w:lang w:eastAsia="fr-FR"/>
        </w:rPr>
        <w:t xml:space="preserve">) et à </w:t>
      </w:r>
      <w:proofErr w:type="spellStart"/>
      <w:r>
        <w:rPr>
          <w:rFonts w:ascii="Cambria" w:hAnsi="Cambria"/>
          <w:lang w:eastAsia="fr-FR"/>
        </w:rPr>
        <w:t>Tetiaroa</w:t>
      </w:r>
      <w:proofErr w:type="spellEnd"/>
      <w:r>
        <w:rPr>
          <w:rFonts w:ascii="Cambria" w:hAnsi="Cambria"/>
          <w:lang w:eastAsia="fr-FR"/>
        </w:rPr>
        <w:t xml:space="preserve"> (2,6 km et 2,4 </w:t>
      </w:r>
      <w:proofErr w:type="spellStart"/>
      <w:r>
        <w:rPr>
          <w:rFonts w:ascii="Cambria" w:hAnsi="Cambria"/>
          <w:lang w:eastAsia="fr-FR"/>
        </w:rPr>
        <w:t>MWf</w:t>
      </w:r>
      <w:proofErr w:type="spellEnd"/>
      <w:r>
        <w:rPr>
          <w:rFonts w:ascii="Cambria" w:hAnsi="Cambria"/>
          <w:lang w:eastAsia="fr-FR"/>
        </w:rPr>
        <w:t xml:space="preserve">), le SWAC du CHPF (3,8 km et 6 </w:t>
      </w:r>
      <w:proofErr w:type="spellStart"/>
      <w:r>
        <w:rPr>
          <w:rFonts w:ascii="Cambria" w:hAnsi="Cambria"/>
          <w:lang w:eastAsia="fr-FR"/>
        </w:rPr>
        <w:t>MWf</w:t>
      </w:r>
      <w:proofErr w:type="spellEnd"/>
      <w:r>
        <w:rPr>
          <w:rFonts w:ascii="Cambria" w:hAnsi="Cambria"/>
          <w:lang w:eastAsia="fr-FR"/>
        </w:rPr>
        <w:t xml:space="preserve">) vise à alléger la facture énergétique des emprises concernées (40% d’économies attendues, soit 350 millions </w:t>
      </w:r>
      <w:proofErr w:type="spellStart"/>
      <w:r>
        <w:rPr>
          <w:rFonts w:ascii="Cambria" w:hAnsi="Cambria"/>
          <w:lang w:eastAsia="fr-FR"/>
        </w:rPr>
        <w:t>Fcfp</w:t>
      </w:r>
      <w:proofErr w:type="spellEnd"/>
      <w:r>
        <w:rPr>
          <w:rFonts w:ascii="Cambria" w:hAnsi="Cambria"/>
          <w:lang w:eastAsia="fr-FR"/>
        </w:rPr>
        <w:t>/an) et l’empreinte carbone (5 000 tonnes de CO2 en moins). Ce chantier titanesque, fleuron d’une technologie d’avenir et illustration concrète de la transition écologique, touche désormais à sa fin, avec une mise en service prévisionnelle envisagée d’ici la mi-octobre prochaine, soit avec un décalage d’un mois par rapport au calendrier initial.</w:t>
      </w:r>
    </w:p>
    <w:p w14:paraId="51EE6A2E" w14:textId="77777777" w:rsidR="00F336CA" w:rsidRDefault="00F336CA" w:rsidP="00F336CA">
      <w:pPr>
        <w:spacing w:before="100" w:beforeAutospacing="1" w:after="100" w:afterAutospacing="1"/>
        <w:jc w:val="both"/>
        <w:rPr>
          <w:rFonts w:ascii="Cambria" w:hAnsi="Cambria"/>
          <w:lang w:eastAsia="fr-FR"/>
        </w:rPr>
      </w:pPr>
      <w:r>
        <w:rPr>
          <w:rFonts w:ascii="Cambria" w:hAnsi="Cambria"/>
          <w:lang w:eastAsia="fr-FR"/>
        </w:rPr>
        <w:t xml:space="preserve">Les travaux sur les voies de circulation dans la rue </w:t>
      </w:r>
      <w:proofErr w:type="spellStart"/>
      <w:r>
        <w:rPr>
          <w:rFonts w:ascii="Cambria" w:hAnsi="Cambria"/>
          <w:lang w:eastAsia="fr-FR"/>
        </w:rPr>
        <w:t>Taaone</w:t>
      </w:r>
      <w:proofErr w:type="spellEnd"/>
      <w:r>
        <w:rPr>
          <w:rFonts w:ascii="Cambria" w:hAnsi="Cambria"/>
          <w:lang w:eastAsia="fr-FR"/>
        </w:rPr>
        <w:t xml:space="preserve"> et autour du rond-point entraîneront des restrictions de circulation à compter de ce mercredi 25 août jusqu’à la fin octobre. Les automobilistes sont appelés à la plus grande prudence et au respect des consignes.</w:t>
      </w:r>
    </w:p>
    <w:p w14:paraId="2F359A2B" w14:textId="77777777" w:rsidR="00A678AE" w:rsidRPr="00A678AE" w:rsidRDefault="00A678AE" w:rsidP="00A678AE">
      <w:pPr>
        <w:spacing w:before="100" w:beforeAutospacing="1" w:after="100" w:afterAutospacing="1"/>
        <w:jc w:val="both"/>
        <w:rPr>
          <w:rFonts w:ascii="Cambria" w:hAnsi="Cambria"/>
          <w:lang w:eastAsia="fr-FR"/>
        </w:rPr>
      </w:pPr>
      <w:r w:rsidRPr="00A678AE">
        <w:rPr>
          <w:rFonts w:ascii="Cambria" w:hAnsi="Cambria"/>
          <w:lang w:eastAsia="fr-FR"/>
        </w:rPr>
        <w:t> </w:t>
      </w:r>
    </w:p>
    <w:p w14:paraId="3668361E" w14:textId="66979B06" w:rsidR="00A678AE" w:rsidRPr="00A678AE" w:rsidRDefault="00A678AE" w:rsidP="00A678AE">
      <w:pPr>
        <w:spacing w:before="100" w:beforeAutospacing="1" w:after="100" w:afterAutospacing="1"/>
        <w:jc w:val="both"/>
        <w:rPr>
          <w:rFonts w:ascii="Cambria" w:hAnsi="Cambria"/>
          <w:lang w:eastAsia="fr-FR"/>
        </w:rPr>
      </w:pPr>
      <w:r w:rsidRPr="00A678AE">
        <w:rPr>
          <w:rFonts w:ascii="Cambria" w:hAnsi="Cambria"/>
          <w:b/>
          <w:bCs/>
          <w:lang w:eastAsia="fr-FR"/>
        </w:rPr>
        <w:t xml:space="preserve">Projet de loi du </w:t>
      </w:r>
      <w:r w:rsidR="00D56ED6">
        <w:rPr>
          <w:rFonts w:ascii="Cambria" w:hAnsi="Cambria"/>
          <w:b/>
          <w:bCs/>
          <w:lang w:eastAsia="fr-FR"/>
        </w:rPr>
        <w:t>P</w:t>
      </w:r>
      <w:r w:rsidRPr="00A678AE">
        <w:rPr>
          <w:rFonts w:ascii="Cambria" w:hAnsi="Cambria"/>
          <w:b/>
          <w:bCs/>
          <w:lang w:eastAsia="fr-FR"/>
        </w:rPr>
        <w:t>ays portant création de la réglementation énergétique des bâtiments</w:t>
      </w:r>
    </w:p>
    <w:p w14:paraId="721A4164" w14:textId="77777777" w:rsidR="00D56ED6" w:rsidRDefault="00A678AE" w:rsidP="00A678AE">
      <w:pPr>
        <w:spacing w:before="100" w:beforeAutospacing="1" w:after="100" w:afterAutospacing="1"/>
        <w:jc w:val="both"/>
        <w:rPr>
          <w:rFonts w:ascii="Cambria" w:hAnsi="Cambria"/>
          <w:lang w:eastAsia="fr-FR"/>
        </w:rPr>
      </w:pPr>
      <w:r w:rsidRPr="00A678AE">
        <w:rPr>
          <w:rFonts w:ascii="Cambria" w:hAnsi="Cambria"/>
          <w:lang w:eastAsia="fr-FR"/>
        </w:rPr>
        <w:t xml:space="preserve">Le ministre </w:t>
      </w:r>
      <w:r w:rsidR="00D56ED6">
        <w:rPr>
          <w:rFonts w:ascii="Cambria" w:hAnsi="Cambria"/>
          <w:lang w:eastAsia="fr-FR"/>
        </w:rPr>
        <w:t xml:space="preserve">des Finances, </w:t>
      </w:r>
      <w:r w:rsidRPr="00A678AE">
        <w:rPr>
          <w:rFonts w:ascii="Cambria" w:hAnsi="Cambria"/>
          <w:lang w:eastAsia="fr-FR"/>
        </w:rPr>
        <w:t>en charge de l’énergie</w:t>
      </w:r>
      <w:r w:rsidR="00D56ED6">
        <w:rPr>
          <w:rFonts w:ascii="Cambria" w:hAnsi="Cambria"/>
          <w:lang w:eastAsia="fr-FR"/>
        </w:rPr>
        <w:t>,</w:t>
      </w:r>
      <w:r w:rsidRPr="00A678AE">
        <w:rPr>
          <w:rFonts w:ascii="Cambria" w:hAnsi="Cambria"/>
          <w:lang w:eastAsia="fr-FR"/>
        </w:rPr>
        <w:t xml:space="preserve"> et le ministre </w:t>
      </w:r>
      <w:r w:rsidR="00D56ED6">
        <w:rPr>
          <w:rFonts w:ascii="Cambria" w:hAnsi="Cambria"/>
          <w:lang w:eastAsia="fr-FR"/>
        </w:rPr>
        <w:t xml:space="preserve">du Logement, </w:t>
      </w:r>
      <w:r w:rsidRPr="00A678AE">
        <w:rPr>
          <w:rFonts w:ascii="Cambria" w:hAnsi="Cambria"/>
          <w:lang w:eastAsia="fr-FR"/>
        </w:rPr>
        <w:t>en charge de l’aménagement</w:t>
      </w:r>
      <w:r w:rsidR="00D56ED6">
        <w:rPr>
          <w:rFonts w:ascii="Cambria" w:hAnsi="Cambria"/>
          <w:lang w:eastAsia="fr-FR"/>
        </w:rPr>
        <w:t>,</w:t>
      </w:r>
      <w:r w:rsidRPr="00A678AE">
        <w:rPr>
          <w:rFonts w:ascii="Cambria" w:hAnsi="Cambria"/>
          <w:lang w:eastAsia="fr-FR"/>
        </w:rPr>
        <w:t xml:space="preserve"> ont présenté en </w:t>
      </w:r>
      <w:r w:rsidR="00D56ED6">
        <w:rPr>
          <w:rFonts w:ascii="Cambria" w:hAnsi="Cambria"/>
          <w:lang w:eastAsia="fr-FR"/>
        </w:rPr>
        <w:t>C</w:t>
      </w:r>
      <w:r w:rsidRPr="00A678AE">
        <w:rPr>
          <w:rFonts w:ascii="Cambria" w:hAnsi="Cambria"/>
          <w:lang w:eastAsia="fr-FR"/>
        </w:rPr>
        <w:t xml:space="preserve">onseil des ministres le projet de loi du </w:t>
      </w:r>
      <w:r w:rsidR="00D56ED6">
        <w:rPr>
          <w:rFonts w:ascii="Cambria" w:hAnsi="Cambria"/>
          <w:lang w:eastAsia="fr-FR"/>
        </w:rPr>
        <w:t>P</w:t>
      </w:r>
      <w:r w:rsidRPr="00A678AE">
        <w:rPr>
          <w:rFonts w:ascii="Cambria" w:hAnsi="Cambria"/>
          <w:lang w:eastAsia="fr-FR"/>
        </w:rPr>
        <w:t xml:space="preserve">ays créant une réglementation énergétique des bâtiments applicable aux constructions nouvelles et extensions nouvelles de bâtiments existants. Cette réglementation s’inscrit dans le cadre de la politique de transition énergétique menée par le Pays. Outre l’amélioration du confort thermique des occupants, elle vise à réduire la consommation énergétique, et donc les charges afférentes, des bâtiments concernés. La réglementation portera sur la protection solaire des bâtiments, la ventilation naturelle, le recours aux brasseurs d’air et à l’eau chaude sanitaire solaire, ainsi que sur les systèmes de climatisation. </w:t>
      </w:r>
    </w:p>
    <w:p w14:paraId="56F0F636" w14:textId="724C70B8" w:rsidR="00A678AE" w:rsidRPr="00A678AE" w:rsidRDefault="00A678AE" w:rsidP="00A678AE">
      <w:pPr>
        <w:spacing w:before="100" w:beforeAutospacing="1" w:after="100" w:afterAutospacing="1"/>
        <w:jc w:val="both"/>
        <w:rPr>
          <w:rFonts w:ascii="Cambria" w:hAnsi="Cambria"/>
          <w:lang w:eastAsia="fr-FR"/>
        </w:rPr>
      </w:pPr>
      <w:r w:rsidRPr="00A678AE">
        <w:rPr>
          <w:rFonts w:ascii="Cambria" w:hAnsi="Cambria"/>
          <w:lang w:eastAsia="fr-FR"/>
        </w:rPr>
        <w:t xml:space="preserve">Afin de tenir compte </w:t>
      </w:r>
      <w:r w:rsidR="00D56ED6">
        <w:rPr>
          <w:rFonts w:ascii="Cambria" w:hAnsi="Cambria"/>
          <w:lang w:eastAsia="fr-FR"/>
        </w:rPr>
        <w:t>des</w:t>
      </w:r>
      <w:r w:rsidRPr="00A678AE">
        <w:rPr>
          <w:rFonts w:ascii="Cambria" w:hAnsi="Cambria"/>
          <w:lang w:eastAsia="fr-FR"/>
        </w:rPr>
        <w:t xml:space="preserve"> disparité</w:t>
      </w:r>
      <w:r w:rsidR="00D56ED6">
        <w:rPr>
          <w:rFonts w:ascii="Cambria" w:hAnsi="Cambria"/>
          <w:lang w:eastAsia="fr-FR"/>
        </w:rPr>
        <w:t>s</w:t>
      </w:r>
      <w:r w:rsidRPr="00A678AE">
        <w:rPr>
          <w:rFonts w:ascii="Cambria" w:hAnsi="Cambria"/>
          <w:lang w:eastAsia="fr-FR"/>
        </w:rPr>
        <w:t xml:space="preserve"> d</w:t>
      </w:r>
      <w:r w:rsidR="00D56ED6">
        <w:rPr>
          <w:rFonts w:ascii="Cambria" w:hAnsi="Cambria"/>
          <w:lang w:eastAsia="fr-FR"/>
        </w:rPr>
        <w:t>e</w:t>
      </w:r>
      <w:r w:rsidRPr="00A678AE">
        <w:rPr>
          <w:rFonts w:ascii="Cambria" w:hAnsi="Cambria"/>
          <w:lang w:eastAsia="fr-FR"/>
        </w:rPr>
        <w:t xml:space="preserve"> climat, des usages et des équipements des archipels, le périmètre d’application et les seuils de performance des dispositions précédemment citées varient en fonction du caractère occupé ou climatisé des locaux, de l’implantation géographique ou altimétrique et de la typologie des bâtiments. Ce projet va désormais faire l'objet d'un examen par l'Assemblée de la Polynésie française avant une potentielle entrée en vigueur en juillet 2023.</w:t>
      </w:r>
    </w:p>
    <w:p w14:paraId="6BA7507D" w14:textId="46D7AA92" w:rsidR="0032531B" w:rsidRDefault="00A678AE" w:rsidP="00F336CA">
      <w:pPr>
        <w:spacing w:before="100" w:beforeAutospacing="1" w:after="100" w:afterAutospacing="1"/>
        <w:jc w:val="both"/>
        <w:rPr>
          <w:rFonts w:ascii="Cambria" w:hAnsi="Cambria"/>
          <w:sz w:val="22"/>
        </w:rPr>
      </w:pPr>
      <w:r w:rsidRPr="00A678AE">
        <w:rPr>
          <w:rFonts w:ascii="Cambria" w:hAnsi="Cambria"/>
          <w:lang w:eastAsia="fr-FR"/>
        </w:rPr>
        <w:t> </w:t>
      </w:r>
    </w:p>
    <w:p w14:paraId="2C2D9F73" w14:textId="56CC0E5C" w:rsidR="00817A45" w:rsidRDefault="00817A45" w:rsidP="00817A45">
      <w:pPr>
        <w:pStyle w:val="NormalWeb"/>
        <w:jc w:val="both"/>
        <w:rPr>
          <w:rStyle w:val="lev"/>
          <w:rFonts w:ascii="Cambria" w:hAnsi="Cambria"/>
        </w:rPr>
      </w:pPr>
      <w:proofErr w:type="gramStart"/>
      <w:r w:rsidRPr="00817A45">
        <w:rPr>
          <w:rStyle w:val="lev"/>
          <w:rFonts w:ascii="Cambria" w:hAnsi="Cambria"/>
        </w:rPr>
        <w:t>Rangiroa:</w:t>
      </w:r>
      <w:proofErr w:type="gramEnd"/>
      <w:r w:rsidRPr="00817A45">
        <w:rPr>
          <w:rStyle w:val="lev"/>
          <w:rFonts w:ascii="Cambria" w:hAnsi="Cambria"/>
        </w:rPr>
        <w:t xml:space="preserve"> zone d’interdiction de mouillage pour préserver la biodiversité de la passe d’</w:t>
      </w:r>
      <w:proofErr w:type="spellStart"/>
      <w:r w:rsidRPr="00817A45">
        <w:rPr>
          <w:rStyle w:val="lev"/>
          <w:rFonts w:ascii="Cambria" w:hAnsi="Cambria"/>
        </w:rPr>
        <w:t>Avatoru</w:t>
      </w:r>
      <w:proofErr w:type="spellEnd"/>
    </w:p>
    <w:p w14:paraId="6D4FD2F5" w14:textId="77777777" w:rsidR="00D5395B" w:rsidRPr="00817A45" w:rsidRDefault="00D5395B" w:rsidP="00817A45">
      <w:pPr>
        <w:pStyle w:val="NormalWeb"/>
        <w:jc w:val="both"/>
        <w:rPr>
          <w:rFonts w:ascii="Cambria" w:hAnsi="Cambria"/>
        </w:rPr>
      </w:pPr>
    </w:p>
    <w:p w14:paraId="6D4AB925" w14:textId="77777777" w:rsidR="00817A45" w:rsidRPr="00817A45" w:rsidRDefault="00817A45" w:rsidP="00817A45">
      <w:pPr>
        <w:pStyle w:val="NormalWeb"/>
        <w:jc w:val="both"/>
        <w:rPr>
          <w:rFonts w:ascii="Cambria" w:hAnsi="Cambria"/>
        </w:rPr>
      </w:pPr>
      <w:r w:rsidRPr="00817A45">
        <w:rPr>
          <w:rFonts w:ascii="Cambria" w:hAnsi="Cambria"/>
        </w:rPr>
        <w:t xml:space="preserve">Par courrier en date du 28 décembre 2020, le maire de Rangiroa a sollicité la Direction polynésienne des affaires maritimes (DPAM) pour la création d’une zone d’interdiction de mouillage afin de préserver la biodiversité unique concentrée en ce lieu. La zone </w:t>
      </w:r>
      <w:r w:rsidRPr="00817A45">
        <w:rPr>
          <w:rFonts w:ascii="Cambria" w:hAnsi="Cambria"/>
        </w:rPr>
        <w:lastRenderedPageBreak/>
        <w:t>concernée abrite une flore et une faune sous-marines particulières, grâce à la présence d’un courant marin constant entre le lagon et la haute mer.</w:t>
      </w:r>
    </w:p>
    <w:p w14:paraId="66ADAD63" w14:textId="77777777" w:rsidR="00817A45" w:rsidRPr="00817A45" w:rsidRDefault="00817A45" w:rsidP="00817A45">
      <w:pPr>
        <w:pStyle w:val="NormalWeb"/>
        <w:jc w:val="both"/>
        <w:rPr>
          <w:rFonts w:ascii="Cambria" w:hAnsi="Cambria"/>
        </w:rPr>
      </w:pPr>
      <w:r w:rsidRPr="00817A45">
        <w:rPr>
          <w:rFonts w:ascii="Cambria" w:hAnsi="Cambria"/>
        </w:rPr>
        <w:t>Désireux de préserver cette richesse afin de pouvoir la transmettre aux générations futures, le maire a souhaité règlementer la zone et y interdire les mouillages afin d’éviter que les ancres des navires ne détruisent les fonds sous-marins et que la présence prolongée d’individus dans ce milieu exceptionnel n’altère la biodiversité.</w:t>
      </w:r>
    </w:p>
    <w:p w14:paraId="2FE18D00" w14:textId="77777777" w:rsidR="00817A45" w:rsidRPr="00817A45" w:rsidRDefault="00817A45" w:rsidP="00817A45">
      <w:pPr>
        <w:pStyle w:val="NormalWeb"/>
        <w:jc w:val="both"/>
        <w:rPr>
          <w:rFonts w:ascii="Cambria" w:hAnsi="Cambria"/>
        </w:rPr>
      </w:pPr>
      <w:r w:rsidRPr="00817A45">
        <w:rPr>
          <w:rFonts w:ascii="Cambria" w:hAnsi="Cambria"/>
        </w:rPr>
        <w:t>Ainsi, en accord avec le maire, il a été défini une zone d’interdiction de mouillage pour tout navire d’une longueur supérieure à dix mètres. Cette règlementation concerne particulièrement les navires de plaisance de type voiliers, yachts et catamarans, nombreux à fréquenter cette zone.</w:t>
      </w:r>
    </w:p>
    <w:p w14:paraId="7AEB1143" w14:textId="77777777" w:rsidR="00817A45" w:rsidRPr="00817A45" w:rsidRDefault="00817A45" w:rsidP="00817A45">
      <w:pPr>
        <w:pStyle w:val="NormalWeb"/>
        <w:jc w:val="both"/>
        <w:rPr>
          <w:rFonts w:ascii="Cambria" w:hAnsi="Cambria"/>
        </w:rPr>
      </w:pPr>
      <w:r w:rsidRPr="00817A45">
        <w:rPr>
          <w:rFonts w:ascii="Cambria" w:hAnsi="Cambria"/>
        </w:rPr>
        <w:t>La zone réservée se situe à l’intérieur de la passe d’</w:t>
      </w:r>
      <w:proofErr w:type="spellStart"/>
      <w:r w:rsidRPr="00817A45">
        <w:rPr>
          <w:rFonts w:ascii="Cambria" w:hAnsi="Cambria"/>
        </w:rPr>
        <w:t>Avatoru</w:t>
      </w:r>
      <w:proofErr w:type="spellEnd"/>
      <w:r w:rsidRPr="00817A45">
        <w:rPr>
          <w:rFonts w:ascii="Cambria" w:hAnsi="Cambria"/>
        </w:rPr>
        <w:t xml:space="preserve"> sur le domaine public maritime et est donc créée afin de protéger la faune et la flore qui s’y trouvent. La délimitation de la zone d’interdiction de mouillage est consultable auprès de la Direction polynésienne des affaires maritimes (DPAM) et sur le site internet : </w:t>
      </w:r>
      <w:hyperlink r:id="rId7" w:history="1">
        <w:r w:rsidRPr="00817A45">
          <w:rPr>
            <w:rStyle w:val="Lienhypertexte"/>
            <w:rFonts w:ascii="Cambria" w:hAnsi="Cambria"/>
          </w:rPr>
          <w:t>www.service-public.pf/dpam</w:t>
        </w:r>
      </w:hyperlink>
      <w:r w:rsidRPr="00817A45">
        <w:rPr>
          <w:rFonts w:ascii="Cambria" w:hAnsi="Cambria"/>
        </w:rPr>
        <w:t xml:space="preserve"> ou </w:t>
      </w:r>
      <w:hyperlink r:id="rId8" w:history="1">
        <w:r w:rsidRPr="00817A45">
          <w:rPr>
            <w:rStyle w:val="Lienhypertexte"/>
            <w:rFonts w:ascii="Cambria" w:hAnsi="Cambria"/>
          </w:rPr>
          <w:t>www.maritime.gov.pf</w:t>
        </w:r>
      </w:hyperlink>
      <w:r w:rsidRPr="00817A45">
        <w:rPr>
          <w:rFonts w:ascii="Cambria" w:hAnsi="Cambria"/>
        </w:rPr>
        <w:t>.</w:t>
      </w:r>
    </w:p>
    <w:p w14:paraId="2702367F" w14:textId="77777777" w:rsidR="00817A45" w:rsidRPr="00817A45" w:rsidRDefault="00817A45" w:rsidP="00817A45">
      <w:pPr>
        <w:pStyle w:val="NormalWeb"/>
        <w:jc w:val="both"/>
        <w:rPr>
          <w:rFonts w:ascii="Cambria" w:hAnsi="Cambria"/>
        </w:rPr>
      </w:pPr>
      <w:r w:rsidRPr="00817A45">
        <w:rPr>
          <w:rFonts w:ascii="Cambria" w:hAnsi="Cambria"/>
        </w:rPr>
        <w:t>Conformément aux dispositions du code pénal, les infractions au présent arrêté exposent leurs auteurs aux peines et sanctions prévues pour les contraventions de 4</w:t>
      </w:r>
      <w:r w:rsidRPr="00817A45">
        <w:rPr>
          <w:rFonts w:ascii="Cambria" w:hAnsi="Cambria"/>
          <w:vertAlign w:val="superscript"/>
        </w:rPr>
        <w:t>e</w:t>
      </w:r>
      <w:r w:rsidRPr="00817A45">
        <w:rPr>
          <w:rFonts w:ascii="Cambria" w:hAnsi="Cambria"/>
        </w:rPr>
        <w:t xml:space="preserve"> classe.</w:t>
      </w:r>
    </w:p>
    <w:p w14:paraId="71D3162A" w14:textId="1EE9C082" w:rsidR="00817A45" w:rsidRDefault="00817A45" w:rsidP="00302594">
      <w:pPr>
        <w:spacing w:after="120"/>
        <w:jc w:val="both"/>
        <w:rPr>
          <w:rFonts w:ascii="Cambria" w:hAnsi="Cambria"/>
          <w:sz w:val="22"/>
        </w:rPr>
      </w:pPr>
    </w:p>
    <w:p w14:paraId="09E2B771" w14:textId="77777777" w:rsidR="003916AA" w:rsidRDefault="003916AA" w:rsidP="003916AA">
      <w:pPr>
        <w:jc w:val="both"/>
      </w:pPr>
      <w:r>
        <w:rPr>
          <w:rFonts w:ascii="Cambria" w:hAnsi="Cambria"/>
        </w:rPr>
        <w:t> </w:t>
      </w:r>
    </w:p>
    <w:p w14:paraId="59A40F84" w14:textId="77777777" w:rsidR="003916AA" w:rsidRDefault="003916AA" w:rsidP="003916AA">
      <w:pPr>
        <w:jc w:val="both"/>
      </w:pPr>
      <w:r>
        <w:rPr>
          <w:rFonts w:ascii="Cambria" w:hAnsi="Cambria"/>
          <w:b/>
          <w:bCs/>
        </w:rPr>
        <w:t>Maintien du paiement des indemnités des stagiaires</w:t>
      </w:r>
    </w:p>
    <w:p w14:paraId="05F40DE7" w14:textId="77777777" w:rsidR="003916AA" w:rsidRDefault="003916AA" w:rsidP="003916AA">
      <w:pPr>
        <w:jc w:val="both"/>
      </w:pPr>
      <w:r>
        <w:rPr>
          <w:rFonts w:ascii="Cambria" w:hAnsi="Cambria"/>
        </w:rPr>
        <w:t> </w:t>
      </w:r>
    </w:p>
    <w:p w14:paraId="7EC60D50" w14:textId="77777777" w:rsidR="003916AA" w:rsidRDefault="003916AA" w:rsidP="003916AA">
      <w:pPr>
        <w:jc w:val="both"/>
      </w:pPr>
      <w:r>
        <w:rPr>
          <w:rFonts w:ascii="Cambria" w:hAnsi="Cambria"/>
        </w:rPr>
        <w:t>Le Haut-commissaire de la République en Polynésie française, en relation avec le gouvernement du Pays, a décidé de renforcer les mesures de restriction des contacts et des déplacements sur l’ensemble de la Polynésie française, afin de ralentir la propagation du Covid-19.</w:t>
      </w:r>
    </w:p>
    <w:p w14:paraId="0EF9B153" w14:textId="77777777" w:rsidR="003916AA" w:rsidRDefault="003916AA" w:rsidP="003916AA">
      <w:pPr>
        <w:jc w:val="both"/>
      </w:pPr>
      <w:r>
        <w:rPr>
          <w:rFonts w:ascii="Cambria" w:hAnsi="Cambria"/>
        </w:rPr>
        <w:t> </w:t>
      </w:r>
    </w:p>
    <w:p w14:paraId="1C1468FD" w14:textId="77777777" w:rsidR="003916AA" w:rsidRDefault="003916AA" w:rsidP="003916AA">
      <w:pPr>
        <w:jc w:val="both"/>
      </w:pPr>
      <w:r>
        <w:rPr>
          <w:rFonts w:ascii="Cambria" w:hAnsi="Cambria"/>
        </w:rPr>
        <w:t xml:space="preserve">Ces restrictions s’appliquant également aux stagiaires de la formation professionnelle et aux stagiaires bénéficiaires d’une mesure d’aide à l’emploi et à l’insertion professionnelle, peuvent générer des conséquences financières non négligeables pour ces personnes. </w:t>
      </w:r>
    </w:p>
    <w:p w14:paraId="560C6F5A" w14:textId="77777777" w:rsidR="003916AA" w:rsidRDefault="003916AA" w:rsidP="003916AA">
      <w:pPr>
        <w:jc w:val="both"/>
      </w:pPr>
      <w:r>
        <w:rPr>
          <w:rFonts w:ascii="Cambria" w:hAnsi="Cambria"/>
        </w:rPr>
        <w:t> </w:t>
      </w:r>
    </w:p>
    <w:p w14:paraId="3618A770" w14:textId="77777777" w:rsidR="003916AA" w:rsidRDefault="003916AA" w:rsidP="003916AA">
      <w:pPr>
        <w:jc w:val="both"/>
      </w:pPr>
      <w:r>
        <w:rPr>
          <w:rFonts w:ascii="Cambria" w:hAnsi="Cambria"/>
        </w:rPr>
        <w:t>Par conséquent, et afin de ne pas fragiliser leur situation financière, il a été décidé de maintenir le paiement de leurs indemnités durant toute la durée des restrictions</w:t>
      </w:r>
    </w:p>
    <w:p w14:paraId="15F17CF9" w14:textId="7057F57D" w:rsidR="00012CF2" w:rsidRPr="00D5395B" w:rsidRDefault="003916AA" w:rsidP="00D5395B">
      <w:pPr>
        <w:jc w:val="both"/>
      </w:pPr>
      <w:r>
        <w:rPr>
          <w:rFonts w:ascii="Cambria" w:hAnsi="Cambria"/>
        </w:rPr>
        <w:t> </w:t>
      </w:r>
    </w:p>
    <w:p w14:paraId="5453DE34" w14:textId="77777777" w:rsidR="003916AA" w:rsidRDefault="003916AA" w:rsidP="00302594">
      <w:pPr>
        <w:spacing w:after="120"/>
        <w:jc w:val="both"/>
        <w:rPr>
          <w:rFonts w:ascii="Cambria" w:hAnsi="Cambria"/>
          <w:sz w:val="22"/>
        </w:rPr>
      </w:pPr>
    </w:p>
    <w:p w14:paraId="27B33C98" w14:textId="7971C2AE" w:rsidR="004604B5" w:rsidRDefault="004604B5" w:rsidP="004604B5">
      <w:pPr>
        <w:pStyle w:val="NormalWeb"/>
        <w:jc w:val="both"/>
        <w:rPr>
          <w:rFonts w:ascii="Cambria" w:hAnsi="Cambria"/>
          <w:b/>
          <w:bCs/>
          <w:color w:val="auto"/>
        </w:rPr>
      </w:pPr>
      <w:r w:rsidRPr="002706D7">
        <w:rPr>
          <w:rFonts w:ascii="Cambria" w:hAnsi="Cambria"/>
          <w:b/>
          <w:bCs/>
          <w:color w:val="auto"/>
        </w:rPr>
        <w:t xml:space="preserve">Subventions </w:t>
      </w:r>
      <w:r w:rsidR="00D56ED6" w:rsidRPr="002706D7">
        <w:rPr>
          <w:rFonts w:ascii="Cambria" w:hAnsi="Cambria"/>
          <w:b/>
          <w:bCs/>
          <w:color w:val="auto"/>
        </w:rPr>
        <w:t>à l’IJSPF et en faveur d’</w:t>
      </w:r>
      <w:r w:rsidRPr="002706D7">
        <w:rPr>
          <w:rFonts w:ascii="Cambria" w:hAnsi="Cambria"/>
          <w:b/>
          <w:bCs/>
          <w:color w:val="auto"/>
        </w:rPr>
        <w:t>associations sportives</w:t>
      </w:r>
    </w:p>
    <w:p w14:paraId="1C467A3C" w14:textId="77777777" w:rsidR="00D5395B" w:rsidRPr="002706D7" w:rsidRDefault="00D5395B" w:rsidP="004604B5">
      <w:pPr>
        <w:pStyle w:val="NormalWeb"/>
        <w:jc w:val="both"/>
        <w:rPr>
          <w:rFonts w:ascii="Cambria" w:hAnsi="Cambria"/>
          <w:b/>
          <w:bCs/>
          <w:color w:val="auto"/>
        </w:rPr>
      </w:pPr>
    </w:p>
    <w:p w14:paraId="2228566E" w14:textId="525AECD1" w:rsidR="004604B5" w:rsidRPr="004604B5" w:rsidRDefault="004604B5" w:rsidP="004604B5">
      <w:pPr>
        <w:pStyle w:val="NormalWeb"/>
        <w:jc w:val="both"/>
        <w:rPr>
          <w:rFonts w:ascii="Cambria" w:hAnsi="Cambria"/>
        </w:rPr>
      </w:pPr>
      <w:r w:rsidRPr="004604B5">
        <w:rPr>
          <w:rFonts w:ascii="Cambria" w:hAnsi="Cambria"/>
        </w:rPr>
        <w:t xml:space="preserve">Sur proposition du ministre de la Culture, de l’environnement en charge de la jeunesse et des sports et de l’artisanat, le Conseil des </w:t>
      </w:r>
      <w:r w:rsidR="00D56ED6">
        <w:rPr>
          <w:rFonts w:ascii="Cambria" w:hAnsi="Cambria"/>
        </w:rPr>
        <w:t>m</w:t>
      </w:r>
      <w:r w:rsidRPr="004604B5">
        <w:rPr>
          <w:rFonts w:ascii="Cambria" w:hAnsi="Cambria"/>
        </w:rPr>
        <w:t xml:space="preserve">inistres a octroyé plusieurs subventions, pour un montant total de 65 000 000 </w:t>
      </w:r>
      <w:proofErr w:type="spellStart"/>
      <w:r w:rsidRPr="004604B5">
        <w:rPr>
          <w:rFonts w:ascii="Cambria" w:hAnsi="Cambria"/>
        </w:rPr>
        <w:t>Fcfp</w:t>
      </w:r>
      <w:proofErr w:type="spellEnd"/>
      <w:r w:rsidRPr="004604B5">
        <w:rPr>
          <w:rFonts w:ascii="Cambria" w:hAnsi="Cambria"/>
        </w:rPr>
        <w:t xml:space="preserve"> :</w:t>
      </w:r>
    </w:p>
    <w:p w14:paraId="0088912F" w14:textId="0A61AF5B" w:rsidR="004604B5" w:rsidRPr="004604B5" w:rsidRDefault="004604B5" w:rsidP="004604B5">
      <w:pPr>
        <w:pStyle w:val="NormalWeb"/>
        <w:jc w:val="both"/>
        <w:rPr>
          <w:rFonts w:ascii="Cambria" w:hAnsi="Cambria"/>
        </w:rPr>
      </w:pPr>
      <w:r w:rsidRPr="004604B5">
        <w:rPr>
          <w:rFonts w:ascii="Cambria" w:hAnsi="Cambria"/>
        </w:rPr>
        <w:t>Au titre du sport en investissement</w:t>
      </w:r>
      <w:r w:rsidR="002706D7">
        <w:rPr>
          <w:rFonts w:ascii="Cambria" w:hAnsi="Cambria"/>
        </w:rPr>
        <w:t>,</w:t>
      </w:r>
      <w:r w:rsidRPr="004604B5">
        <w:rPr>
          <w:rFonts w:ascii="Cambria" w:hAnsi="Cambria"/>
        </w:rPr>
        <w:t xml:space="preserve"> pour un montant de 40 000 000 </w:t>
      </w:r>
      <w:proofErr w:type="spellStart"/>
      <w:r w:rsidRPr="004604B5">
        <w:rPr>
          <w:rFonts w:ascii="Cambria" w:hAnsi="Cambria"/>
        </w:rPr>
        <w:t>Fcfp</w:t>
      </w:r>
      <w:proofErr w:type="spellEnd"/>
      <w:r w:rsidRPr="004604B5">
        <w:rPr>
          <w:rFonts w:ascii="Cambria" w:hAnsi="Cambria"/>
        </w:rPr>
        <w:t xml:space="preserve"> en faveur de l’Institut de la jeunesse et des sports de la Polynésie française (IJSPF) pour :</w:t>
      </w:r>
    </w:p>
    <w:p w14:paraId="123655AD" w14:textId="3F9C405C" w:rsidR="004604B5" w:rsidRPr="004604B5" w:rsidRDefault="004604B5" w:rsidP="004604B5">
      <w:pPr>
        <w:numPr>
          <w:ilvl w:val="0"/>
          <w:numId w:val="20"/>
        </w:numPr>
        <w:spacing w:before="100" w:beforeAutospacing="1" w:after="100" w:afterAutospacing="1"/>
        <w:jc w:val="both"/>
        <w:rPr>
          <w:rFonts w:ascii="Cambria" w:hAnsi="Cambria"/>
        </w:rPr>
      </w:pPr>
      <w:proofErr w:type="gramStart"/>
      <w:r w:rsidRPr="004604B5">
        <w:rPr>
          <w:rFonts w:ascii="Cambria" w:hAnsi="Cambria"/>
        </w:rPr>
        <w:t>le</w:t>
      </w:r>
      <w:proofErr w:type="gramEnd"/>
      <w:r w:rsidRPr="004604B5">
        <w:rPr>
          <w:rFonts w:ascii="Cambria" w:hAnsi="Cambria"/>
        </w:rPr>
        <w:t xml:space="preserve"> financement des </w:t>
      </w:r>
      <w:r w:rsidR="00E81C54">
        <w:rPr>
          <w:rFonts w:ascii="Cambria" w:hAnsi="Cambria"/>
        </w:rPr>
        <w:t>études</w:t>
      </w:r>
      <w:r w:rsidRPr="004604B5">
        <w:rPr>
          <w:rFonts w:ascii="Cambria" w:hAnsi="Cambria"/>
        </w:rPr>
        <w:t xml:space="preserve"> pour l’extension de la salle du collège de </w:t>
      </w:r>
      <w:proofErr w:type="spellStart"/>
      <w:r w:rsidRPr="004604B5">
        <w:rPr>
          <w:rFonts w:ascii="Cambria" w:hAnsi="Cambria"/>
        </w:rPr>
        <w:t>T</w:t>
      </w:r>
      <w:r w:rsidR="009B58DD">
        <w:rPr>
          <w:rFonts w:ascii="Cambria" w:hAnsi="Cambria"/>
        </w:rPr>
        <w:t>aravao</w:t>
      </w:r>
      <w:proofErr w:type="spellEnd"/>
      <w:r w:rsidRPr="004604B5">
        <w:rPr>
          <w:rFonts w:ascii="Cambria" w:hAnsi="Cambria"/>
        </w:rPr>
        <w:t>,</w:t>
      </w:r>
    </w:p>
    <w:p w14:paraId="498177A9" w14:textId="7D0B8B10" w:rsidR="004604B5" w:rsidRPr="004604B5" w:rsidRDefault="004604B5" w:rsidP="004604B5">
      <w:pPr>
        <w:numPr>
          <w:ilvl w:val="0"/>
          <w:numId w:val="20"/>
        </w:numPr>
        <w:spacing w:before="100" w:beforeAutospacing="1" w:after="100" w:afterAutospacing="1"/>
        <w:jc w:val="both"/>
        <w:rPr>
          <w:rFonts w:ascii="Cambria" w:hAnsi="Cambria"/>
        </w:rPr>
      </w:pPr>
      <w:proofErr w:type="gramStart"/>
      <w:r w:rsidRPr="004604B5">
        <w:rPr>
          <w:rFonts w:ascii="Cambria" w:hAnsi="Cambria"/>
        </w:rPr>
        <w:t>le</w:t>
      </w:r>
      <w:proofErr w:type="gramEnd"/>
      <w:r w:rsidRPr="004604B5">
        <w:rPr>
          <w:rFonts w:ascii="Cambria" w:hAnsi="Cambria"/>
        </w:rPr>
        <w:t xml:space="preserve"> financement des </w:t>
      </w:r>
      <w:r w:rsidR="00E81C54">
        <w:rPr>
          <w:rFonts w:ascii="Cambria" w:hAnsi="Cambria"/>
        </w:rPr>
        <w:t>études</w:t>
      </w:r>
      <w:r w:rsidRPr="004604B5">
        <w:rPr>
          <w:rFonts w:ascii="Cambria" w:hAnsi="Cambria"/>
        </w:rPr>
        <w:t xml:space="preserve"> de diagnostic des équipements sportifs de compétition en Polynésie française,</w:t>
      </w:r>
    </w:p>
    <w:p w14:paraId="06D85B03" w14:textId="5CD1C991" w:rsidR="004604B5" w:rsidRPr="004604B5" w:rsidRDefault="004604B5" w:rsidP="004604B5">
      <w:pPr>
        <w:pStyle w:val="NormalWeb"/>
        <w:jc w:val="both"/>
        <w:rPr>
          <w:rFonts w:ascii="Cambria" w:hAnsi="Cambria"/>
        </w:rPr>
      </w:pPr>
      <w:r w:rsidRPr="004604B5">
        <w:rPr>
          <w:rFonts w:ascii="Cambria" w:hAnsi="Cambria"/>
        </w:rPr>
        <w:lastRenderedPageBreak/>
        <w:t>Au titre du sport en fonctionnement</w:t>
      </w:r>
      <w:r w:rsidR="009B58DD">
        <w:rPr>
          <w:rFonts w:ascii="Cambria" w:hAnsi="Cambria"/>
        </w:rPr>
        <w:t>,</w:t>
      </w:r>
      <w:r w:rsidRPr="004604B5">
        <w:rPr>
          <w:rFonts w:ascii="Cambria" w:hAnsi="Cambria"/>
        </w:rPr>
        <w:t xml:space="preserve"> pour un montant de 25 000 000 </w:t>
      </w:r>
      <w:proofErr w:type="spellStart"/>
      <w:r w:rsidRPr="004604B5">
        <w:rPr>
          <w:rFonts w:ascii="Cambria" w:hAnsi="Cambria"/>
        </w:rPr>
        <w:t>Fcfp</w:t>
      </w:r>
      <w:proofErr w:type="spellEnd"/>
      <w:r w:rsidRPr="004604B5">
        <w:rPr>
          <w:rFonts w:ascii="Cambria" w:hAnsi="Cambria"/>
        </w:rPr>
        <w:t xml:space="preserve"> après avis de la commission du sport sur la base des critères relatifs notamment au développement de la pratique sportive, l’organisation de compétitions, de formations, </w:t>
      </w:r>
      <w:r w:rsidR="009B58DD">
        <w:rPr>
          <w:rFonts w:ascii="Cambria" w:hAnsi="Cambria"/>
        </w:rPr>
        <w:t xml:space="preserve">et de </w:t>
      </w:r>
      <w:r w:rsidRPr="004604B5">
        <w:rPr>
          <w:rFonts w:ascii="Cambria" w:hAnsi="Cambria"/>
        </w:rPr>
        <w:t>sport santé</w:t>
      </w:r>
      <w:r w:rsidR="009B58DD">
        <w:rPr>
          <w:rFonts w:ascii="Cambria" w:hAnsi="Cambria"/>
        </w:rPr>
        <w:t>,</w:t>
      </w:r>
      <w:r w:rsidRPr="004604B5">
        <w:rPr>
          <w:rFonts w:ascii="Cambria" w:hAnsi="Cambria"/>
        </w:rPr>
        <w:t xml:space="preserve"> en faveur du mouvement sportif</w:t>
      </w:r>
      <w:r w:rsidR="009B58DD">
        <w:rPr>
          <w:rFonts w:ascii="Cambria" w:hAnsi="Cambria"/>
        </w:rPr>
        <w:t xml:space="preserve">, pour les associations </w:t>
      </w:r>
      <w:proofErr w:type="gramStart"/>
      <w:r w:rsidR="009B58DD">
        <w:rPr>
          <w:rFonts w:ascii="Cambria" w:hAnsi="Cambria"/>
        </w:rPr>
        <w:t>suivantes</w:t>
      </w:r>
      <w:r w:rsidRPr="004604B5">
        <w:rPr>
          <w:rFonts w:ascii="Cambria" w:hAnsi="Cambria"/>
        </w:rPr>
        <w:t>:</w:t>
      </w:r>
      <w:proofErr w:type="gramEnd"/>
    </w:p>
    <w:p w14:paraId="35283E55" w14:textId="77777777" w:rsidR="004604B5" w:rsidRPr="004604B5" w:rsidRDefault="004604B5" w:rsidP="004604B5">
      <w:pPr>
        <w:pStyle w:val="NormalWeb"/>
        <w:jc w:val="both"/>
        <w:rPr>
          <w:rFonts w:ascii="Cambria" w:hAnsi="Cambria"/>
        </w:rPr>
      </w:pPr>
      <w:proofErr w:type="spellStart"/>
      <w:r w:rsidRPr="004604B5">
        <w:rPr>
          <w:rFonts w:ascii="Cambria" w:hAnsi="Cambria"/>
        </w:rPr>
        <w:t>Ass</w:t>
      </w:r>
      <w:proofErr w:type="spellEnd"/>
      <w:r w:rsidRPr="004604B5">
        <w:rPr>
          <w:rFonts w:ascii="Cambria" w:hAnsi="Cambria"/>
        </w:rPr>
        <w:t xml:space="preserve"> Club Natation du </w:t>
      </w:r>
      <w:proofErr w:type="spellStart"/>
      <w:r w:rsidRPr="004604B5">
        <w:rPr>
          <w:rFonts w:ascii="Cambria" w:hAnsi="Cambria"/>
        </w:rPr>
        <w:t>Tapioi</w:t>
      </w:r>
      <w:proofErr w:type="spellEnd"/>
      <w:r w:rsidRPr="004604B5">
        <w:rPr>
          <w:rFonts w:ascii="Cambria" w:hAnsi="Cambria"/>
        </w:rPr>
        <w:t xml:space="preserve">, </w:t>
      </w:r>
      <w:proofErr w:type="spellStart"/>
      <w:r w:rsidRPr="004604B5">
        <w:rPr>
          <w:rFonts w:ascii="Cambria" w:hAnsi="Cambria"/>
        </w:rPr>
        <w:t>Ass</w:t>
      </w:r>
      <w:proofErr w:type="spellEnd"/>
      <w:r w:rsidRPr="004604B5">
        <w:rPr>
          <w:rFonts w:ascii="Cambria" w:hAnsi="Cambria"/>
        </w:rPr>
        <w:t xml:space="preserve"> Raiatea Yacht Club, </w:t>
      </w:r>
      <w:proofErr w:type="spellStart"/>
      <w:r w:rsidRPr="004604B5">
        <w:rPr>
          <w:rFonts w:ascii="Cambria" w:hAnsi="Cambria"/>
        </w:rPr>
        <w:t>Ass</w:t>
      </w:r>
      <w:proofErr w:type="spellEnd"/>
      <w:r w:rsidRPr="004604B5">
        <w:rPr>
          <w:rFonts w:ascii="Cambria" w:hAnsi="Cambria"/>
        </w:rPr>
        <w:t xml:space="preserve"> Huahine D32, </w:t>
      </w:r>
      <w:proofErr w:type="spellStart"/>
      <w:r w:rsidRPr="004604B5">
        <w:rPr>
          <w:rFonts w:ascii="Cambria" w:hAnsi="Cambria"/>
        </w:rPr>
        <w:t>Ass</w:t>
      </w:r>
      <w:proofErr w:type="spellEnd"/>
      <w:r w:rsidRPr="004604B5">
        <w:rPr>
          <w:rFonts w:ascii="Cambria" w:hAnsi="Cambria"/>
        </w:rPr>
        <w:t xml:space="preserve"> Sportive Jeunesse Marquisienne Football, </w:t>
      </w:r>
      <w:proofErr w:type="spellStart"/>
      <w:r w:rsidRPr="004604B5">
        <w:rPr>
          <w:rFonts w:ascii="Cambria" w:hAnsi="Cambria"/>
        </w:rPr>
        <w:t>Ass</w:t>
      </w:r>
      <w:proofErr w:type="spellEnd"/>
      <w:r w:rsidRPr="004604B5">
        <w:rPr>
          <w:rFonts w:ascii="Cambria" w:hAnsi="Cambria"/>
        </w:rPr>
        <w:t xml:space="preserve"> Judo Club de </w:t>
      </w:r>
      <w:proofErr w:type="spellStart"/>
      <w:r w:rsidRPr="004604B5">
        <w:rPr>
          <w:rFonts w:ascii="Cambria" w:hAnsi="Cambria"/>
        </w:rPr>
        <w:t>Taravao</w:t>
      </w:r>
      <w:proofErr w:type="spellEnd"/>
      <w:r w:rsidRPr="004604B5">
        <w:rPr>
          <w:rFonts w:ascii="Cambria" w:hAnsi="Cambria"/>
        </w:rPr>
        <w:t xml:space="preserve">, </w:t>
      </w:r>
      <w:proofErr w:type="spellStart"/>
      <w:r w:rsidRPr="004604B5">
        <w:rPr>
          <w:rFonts w:ascii="Cambria" w:hAnsi="Cambria"/>
        </w:rPr>
        <w:t>Ass</w:t>
      </w:r>
      <w:proofErr w:type="spellEnd"/>
      <w:r w:rsidRPr="004604B5">
        <w:rPr>
          <w:rFonts w:ascii="Cambria" w:hAnsi="Cambria"/>
        </w:rPr>
        <w:t xml:space="preserve"> </w:t>
      </w:r>
      <w:proofErr w:type="spellStart"/>
      <w:r w:rsidRPr="004604B5">
        <w:rPr>
          <w:rFonts w:ascii="Cambria" w:hAnsi="Cambria"/>
        </w:rPr>
        <w:t>Aito</w:t>
      </w:r>
      <w:proofErr w:type="spellEnd"/>
      <w:r w:rsidRPr="004604B5">
        <w:rPr>
          <w:rFonts w:ascii="Cambria" w:hAnsi="Cambria"/>
        </w:rPr>
        <w:t xml:space="preserve"> Papeete Escrime, </w:t>
      </w:r>
      <w:proofErr w:type="spellStart"/>
      <w:r w:rsidRPr="004604B5">
        <w:rPr>
          <w:rFonts w:ascii="Cambria" w:hAnsi="Cambria"/>
        </w:rPr>
        <w:t>Ass</w:t>
      </w:r>
      <w:proofErr w:type="spellEnd"/>
      <w:r w:rsidRPr="004604B5">
        <w:rPr>
          <w:rFonts w:ascii="Cambria" w:hAnsi="Cambria"/>
        </w:rPr>
        <w:t xml:space="preserve"> Faaa Escrime, </w:t>
      </w:r>
      <w:proofErr w:type="spellStart"/>
      <w:r w:rsidRPr="004604B5">
        <w:rPr>
          <w:rFonts w:ascii="Cambria" w:hAnsi="Cambria"/>
        </w:rPr>
        <w:t>Ass</w:t>
      </w:r>
      <w:proofErr w:type="spellEnd"/>
      <w:r w:rsidRPr="004604B5">
        <w:rPr>
          <w:rFonts w:ascii="Cambria" w:hAnsi="Cambria"/>
        </w:rPr>
        <w:t xml:space="preserve"> Rugby Club de Pirae, </w:t>
      </w:r>
      <w:proofErr w:type="spellStart"/>
      <w:r w:rsidRPr="004604B5">
        <w:rPr>
          <w:rFonts w:ascii="Cambria" w:hAnsi="Cambria"/>
        </w:rPr>
        <w:t>Ass</w:t>
      </w:r>
      <w:proofErr w:type="spellEnd"/>
      <w:r w:rsidRPr="004604B5">
        <w:rPr>
          <w:rFonts w:ascii="Cambria" w:hAnsi="Cambria"/>
        </w:rPr>
        <w:t xml:space="preserve"> </w:t>
      </w:r>
      <w:proofErr w:type="spellStart"/>
      <w:r w:rsidRPr="004604B5">
        <w:rPr>
          <w:rFonts w:ascii="Cambria" w:hAnsi="Cambria"/>
        </w:rPr>
        <w:t>Tefana</w:t>
      </w:r>
      <w:proofErr w:type="spellEnd"/>
      <w:r w:rsidRPr="004604B5">
        <w:rPr>
          <w:rFonts w:ascii="Cambria" w:hAnsi="Cambria"/>
        </w:rPr>
        <w:t xml:space="preserve"> Chasse Sous-Marine, </w:t>
      </w:r>
      <w:proofErr w:type="spellStart"/>
      <w:r w:rsidRPr="004604B5">
        <w:rPr>
          <w:rFonts w:ascii="Cambria" w:hAnsi="Cambria"/>
        </w:rPr>
        <w:t>Ass</w:t>
      </w:r>
      <w:proofErr w:type="spellEnd"/>
      <w:r w:rsidRPr="004604B5">
        <w:rPr>
          <w:rFonts w:ascii="Cambria" w:hAnsi="Cambria"/>
        </w:rPr>
        <w:t xml:space="preserve"> Courir En Polynésie, </w:t>
      </w:r>
      <w:proofErr w:type="spellStart"/>
      <w:r w:rsidRPr="004604B5">
        <w:rPr>
          <w:rFonts w:ascii="Cambria" w:hAnsi="Cambria"/>
        </w:rPr>
        <w:t>Ass</w:t>
      </w:r>
      <w:proofErr w:type="spellEnd"/>
      <w:r w:rsidRPr="004604B5">
        <w:rPr>
          <w:rFonts w:ascii="Cambria" w:hAnsi="Cambria"/>
        </w:rPr>
        <w:t xml:space="preserve"> </w:t>
      </w:r>
      <w:proofErr w:type="spellStart"/>
      <w:r w:rsidRPr="004604B5">
        <w:rPr>
          <w:rFonts w:ascii="Cambria" w:hAnsi="Cambria"/>
        </w:rPr>
        <w:t>Tamarii</w:t>
      </w:r>
      <w:proofErr w:type="spellEnd"/>
      <w:r w:rsidRPr="004604B5">
        <w:rPr>
          <w:rFonts w:ascii="Cambria" w:hAnsi="Cambria"/>
        </w:rPr>
        <w:t xml:space="preserve"> </w:t>
      </w:r>
      <w:proofErr w:type="spellStart"/>
      <w:r w:rsidRPr="004604B5">
        <w:rPr>
          <w:rFonts w:ascii="Cambria" w:hAnsi="Cambria"/>
        </w:rPr>
        <w:t>Taravao</w:t>
      </w:r>
      <w:proofErr w:type="spellEnd"/>
      <w:r w:rsidRPr="004604B5">
        <w:rPr>
          <w:rFonts w:ascii="Cambria" w:hAnsi="Cambria"/>
        </w:rPr>
        <w:t xml:space="preserve">, </w:t>
      </w:r>
      <w:proofErr w:type="spellStart"/>
      <w:r w:rsidRPr="004604B5">
        <w:rPr>
          <w:rFonts w:ascii="Cambria" w:hAnsi="Cambria"/>
        </w:rPr>
        <w:t>Ass</w:t>
      </w:r>
      <w:proofErr w:type="spellEnd"/>
      <w:r w:rsidRPr="004604B5">
        <w:rPr>
          <w:rFonts w:ascii="Cambria" w:hAnsi="Cambria"/>
        </w:rPr>
        <w:t xml:space="preserve"> </w:t>
      </w:r>
      <w:proofErr w:type="spellStart"/>
      <w:r w:rsidRPr="004604B5">
        <w:rPr>
          <w:rFonts w:ascii="Cambria" w:hAnsi="Cambria"/>
        </w:rPr>
        <w:t>Taravao</w:t>
      </w:r>
      <w:proofErr w:type="spellEnd"/>
      <w:r w:rsidRPr="004604B5">
        <w:rPr>
          <w:rFonts w:ascii="Cambria" w:hAnsi="Cambria"/>
        </w:rPr>
        <w:t xml:space="preserve"> Escrime Club, </w:t>
      </w:r>
      <w:proofErr w:type="spellStart"/>
      <w:r w:rsidRPr="004604B5">
        <w:rPr>
          <w:rFonts w:ascii="Cambria" w:hAnsi="Cambria"/>
        </w:rPr>
        <w:t>Ass</w:t>
      </w:r>
      <w:proofErr w:type="spellEnd"/>
      <w:r w:rsidRPr="004604B5">
        <w:rPr>
          <w:rFonts w:ascii="Cambria" w:hAnsi="Cambria"/>
        </w:rPr>
        <w:t xml:space="preserve"> Punaauia Rugby Club, </w:t>
      </w:r>
      <w:proofErr w:type="spellStart"/>
      <w:r w:rsidRPr="004604B5">
        <w:rPr>
          <w:rFonts w:ascii="Cambria" w:hAnsi="Cambria"/>
        </w:rPr>
        <w:t>Ass</w:t>
      </w:r>
      <w:proofErr w:type="spellEnd"/>
      <w:r w:rsidRPr="004604B5">
        <w:rPr>
          <w:rFonts w:ascii="Cambria" w:hAnsi="Cambria"/>
        </w:rPr>
        <w:t xml:space="preserve"> Sportive Te </w:t>
      </w:r>
      <w:proofErr w:type="spellStart"/>
      <w:r w:rsidRPr="004604B5">
        <w:rPr>
          <w:rFonts w:ascii="Cambria" w:hAnsi="Cambria"/>
        </w:rPr>
        <w:t>U'i</w:t>
      </w:r>
      <w:proofErr w:type="spellEnd"/>
      <w:r w:rsidRPr="004604B5">
        <w:rPr>
          <w:rFonts w:ascii="Cambria" w:hAnsi="Cambria"/>
        </w:rPr>
        <w:t xml:space="preserve"> </w:t>
      </w:r>
      <w:proofErr w:type="spellStart"/>
      <w:r w:rsidRPr="004604B5">
        <w:rPr>
          <w:rFonts w:ascii="Cambria" w:hAnsi="Cambria"/>
        </w:rPr>
        <w:t>Tefana</w:t>
      </w:r>
      <w:proofErr w:type="spellEnd"/>
      <w:r w:rsidRPr="004604B5">
        <w:rPr>
          <w:rFonts w:ascii="Cambria" w:hAnsi="Cambria"/>
        </w:rPr>
        <w:t xml:space="preserve">, </w:t>
      </w:r>
      <w:proofErr w:type="spellStart"/>
      <w:r w:rsidRPr="004604B5">
        <w:rPr>
          <w:rFonts w:ascii="Cambria" w:hAnsi="Cambria"/>
        </w:rPr>
        <w:t>Ass</w:t>
      </w:r>
      <w:proofErr w:type="spellEnd"/>
      <w:r w:rsidRPr="004604B5">
        <w:rPr>
          <w:rFonts w:ascii="Cambria" w:hAnsi="Cambria"/>
        </w:rPr>
        <w:t xml:space="preserve"> </w:t>
      </w:r>
      <w:proofErr w:type="spellStart"/>
      <w:r w:rsidRPr="004604B5">
        <w:rPr>
          <w:rFonts w:ascii="Cambria" w:hAnsi="Cambria"/>
        </w:rPr>
        <w:t>Papara</w:t>
      </w:r>
      <w:proofErr w:type="spellEnd"/>
      <w:r w:rsidRPr="004604B5">
        <w:rPr>
          <w:rFonts w:ascii="Cambria" w:hAnsi="Cambria"/>
        </w:rPr>
        <w:t xml:space="preserve"> Badminton, Fédération Tahitienne de KAYAK, </w:t>
      </w:r>
      <w:proofErr w:type="spellStart"/>
      <w:r w:rsidRPr="004604B5">
        <w:rPr>
          <w:rFonts w:ascii="Cambria" w:hAnsi="Cambria"/>
        </w:rPr>
        <w:t>Ass</w:t>
      </w:r>
      <w:proofErr w:type="spellEnd"/>
      <w:r w:rsidRPr="004604B5">
        <w:rPr>
          <w:rFonts w:ascii="Cambria" w:hAnsi="Cambria"/>
        </w:rPr>
        <w:t xml:space="preserve"> Mata Are </w:t>
      </w:r>
      <w:proofErr w:type="spellStart"/>
      <w:r w:rsidRPr="004604B5">
        <w:rPr>
          <w:rFonts w:ascii="Cambria" w:hAnsi="Cambria"/>
        </w:rPr>
        <w:t>Va'a</w:t>
      </w:r>
      <w:proofErr w:type="spellEnd"/>
      <w:r w:rsidRPr="004604B5">
        <w:rPr>
          <w:rFonts w:ascii="Cambria" w:hAnsi="Cambria"/>
        </w:rPr>
        <w:t xml:space="preserve">, </w:t>
      </w:r>
      <w:proofErr w:type="spellStart"/>
      <w:r w:rsidRPr="004604B5">
        <w:rPr>
          <w:rFonts w:ascii="Cambria" w:hAnsi="Cambria"/>
        </w:rPr>
        <w:t>Ass</w:t>
      </w:r>
      <w:proofErr w:type="spellEnd"/>
      <w:r w:rsidRPr="004604B5">
        <w:rPr>
          <w:rFonts w:ascii="Cambria" w:hAnsi="Cambria"/>
        </w:rPr>
        <w:t xml:space="preserve"> </w:t>
      </w:r>
      <w:proofErr w:type="spellStart"/>
      <w:r w:rsidRPr="004604B5">
        <w:rPr>
          <w:rFonts w:ascii="Cambria" w:hAnsi="Cambria"/>
        </w:rPr>
        <w:t>Vahine</w:t>
      </w:r>
      <w:proofErr w:type="spellEnd"/>
      <w:r w:rsidRPr="004604B5">
        <w:rPr>
          <w:rFonts w:ascii="Cambria" w:hAnsi="Cambria"/>
        </w:rPr>
        <w:t xml:space="preserve"> Tri, </w:t>
      </w:r>
      <w:proofErr w:type="spellStart"/>
      <w:r w:rsidRPr="004604B5">
        <w:rPr>
          <w:rFonts w:ascii="Cambria" w:hAnsi="Cambria"/>
        </w:rPr>
        <w:t>Ass</w:t>
      </w:r>
      <w:proofErr w:type="spellEnd"/>
      <w:r w:rsidRPr="004604B5">
        <w:rPr>
          <w:rFonts w:ascii="Cambria" w:hAnsi="Cambria"/>
        </w:rPr>
        <w:t xml:space="preserve"> </w:t>
      </w:r>
      <w:proofErr w:type="spellStart"/>
      <w:r w:rsidRPr="004604B5">
        <w:rPr>
          <w:rFonts w:ascii="Cambria" w:hAnsi="Cambria"/>
        </w:rPr>
        <w:t>Budokan</w:t>
      </w:r>
      <w:proofErr w:type="spellEnd"/>
      <w:r w:rsidRPr="004604B5">
        <w:rPr>
          <w:rFonts w:ascii="Cambria" w:hAnsi="Cambria"/>
        </w:rPr>
        <w:t xml:space="preserve"> Judo, </w:t>
      </w:r>
      <w:proofErr w:type="spellStart"/>
      <w:r w:rsidRPr="004604B5">
        <w:rPr>
          <w:rFonts w:ascii="Cambria" w:hAnsi="Cambria"/>
        </w:rPr>
        <w:t>Ass</w:t>
      </w:r>
      <w:proofErr w:type="spellEnd"/>
      <w:r w:rsidRPr="004604B5">
        <w:rPr>
          <w:rFonts w:ascii="Cambria" w:hAnsi="Cambria"/>
        </w:rPr>
        <w:t xml:space="preserve"> Tahiti Judo Discovery, </w:t>
      </w:r>
      <w:proofErr w:type="spellStart"/>
      <w:r w:rsidRPr="004604B5">
        <w:rPr>
          <w:rFonts w:ascii="Cambria" w:hAnsi="Cambria"/>
        </w:rPr>
        <w:t>Ass</w:t>
      </w:r>
      <w:proofErr w:type="spellEnd"/>
      <w:r w:rsidRPr="004604B5">
        <w:rPr>
          <w:rFonts w:ascii="Cambria" w:hAnsi="Cambria"/>
        </w:rPr>
        <w:t xml:space="preserve"> </w:t>
      </w:r>
      <w:proofErr w:type="spellStart"/>
      <w:r w:rsidRPr="004604B5">
        <w:rPr>
          <w:rFonts w:ascii="Cambria" w:hAnsi="Cambria"/>
        </w:rPr>
        <w:t>Taaone</w:t>
      </w:r>
      <w:proofErr w:type="spellEnd"/>
      <w:r w:rsidRPr="004604B5">
        <w:rPr>
          <w:rFonts w:ascii="Cambria" w:hAnsi="Cambria"/>
        </w:rPr>
        <w:t xml:space="preserve"> Tennis De Table, </w:t>
      </w:r>
      <w:proofErr w:type="spellStart"/>
      <w:r w:rsidRPr="004604B5">
        <w:rPr>
          <w:rFonts w:ascii="Cambria" w:hAnsi="Cambria"/>
        </w:rPr>
        <w:t>Ass</w:t>
      </w:r>
      <w:proofErr w:type="spellEnd"/>
      <w:r w:rsidRPr="004604B5">
        <w:rPr>
          <w:rFonts w:ascii="Cambria" w:hAnsi="Cambria"/>
        </w:rPr>
        <w:t xml:space="preserve"> </w:t>
      </w:r>
      <w:proofErr w:type="spellStart"/>
      <w:r w:rsidRPr="004604B5">
        <w:rPr>
          <w:rFonts w:ascii="Cambria" w:hAnsi="Cambria"/>
        </w:rPr>
        <w:t>Papara</w:t>
      </w:r>
      <w:proofErr w:type="spellEnd"/>
      <w:r w:rsidRPr="004604B5">
        <w:rPr>
          <w:rFonts w:ascii="Cambria" w:hAnsi="Cambria"/>
        </w:rPr>
        <w:t xml:space="preserve"> Football Club, </w:t>
      </w:r>
      <w:proofErr w:type="spellStart"/>
      <w:r w:rsidRPr="004604B5">
        <w:rPr>
          <w:rFonts w:ascii="Cambria" w:hAnsi="Cambria"/>
        </w:rPr>
        <w:t>Ass</w:t>
      </w:r>
      <w:proofErr w:type="spellEnd"/>
      <w:r w:rsidRPr="004604B5">
        <w:rPr>
          <w:rFonts w:ascii="Cambria" w:hAnsi="Cambria"/>
        </w:rPr>
        <w:t xml:space="preserve"> Taiarapu Football Club, </w:t>
      </w:r>
      <w:proofErr w:type="spellStart"/>
      <w:r w:rsidRPr="004604B5">
        <w:rPr>
          <w:rFonts w:ascii="Cambria" w:hAnsi="Cambria"/>
        </w:rPr>
        <w:t>Ass</w:t>
      </w:r>
      <w:proofErr w:type="spellEnd"/>
      <w:r w:rsidRPr="004604B5">
        <w:rPr>
          <w:rFonts w:ascii="Cambria" w:hAnsi="Cambria"/>
        </w:rPr>
        <w:t xml:space="preserve"> Badminton Université Club De PF, </w:t>
      </w:r>
      <w:proofErr w:type="spellStart"/>
      <w:r w:rsidRPr="004604B5">
        <w:rPr>
          <w:rFonts w:ascii="Cambria" w:hAnsi="Cambria"/>
        </w:rPr>
        <w:t>Ass</w:t>
      </w:r>
      <w:proofErr w:type="spellEnd"/>
      <w:r w:rsidRPr="004604B5">
        <w:rPr>
          <w:rFonts w:ascii="Cambria" w:hAnsi="Cambria"/>
        </w:rPr>
        <w:t xml:space="preserve"> </w:t>
      </w:r>
      <w:proofErr w:type="spellStart"/>
      <w:r w:rsidRPr="004604B5">
        <w:rPr>
          <w:rFonts w:ascii="Cambria" w:hAnsi="Cambria"/>
        </w:rPr>
        <w:t>Mahina</w:t>
      </w:r>
      <w:proofErr w:type="spellEnd"/>
      <w:r w:rsidRPr="004604B5">
        <w:rPr>
          <w:rFonts w:ascii="Cambria" w:hAnsi="Cambria"/>
        </w:rPr>
        <w:t xml:space="preserve"> </w:t>
      </w:r>
      <w:proofErr w:type="spellStart"/>
      <w:r w:rsidRPr="004604B5">
        <w:rPr>
          <w:rFonts w:ascii="Cambria" w:hAnsi="Cambria"/>
        </w:rPr>
        <w:t>Hoe</w:t>
      </w:r>
      <w:proofErr w:type="spellEnd"/>
      <w:r w:rsidRPr="004604B5">
        <w:rPr>
          <w:rFonts w:ascii="Cambria" w:hAnsi="Cambria"/>
        </w:rPr>
        <w:t xml:space="preserve">, </w:t>
      </w:r>
      <w:proofErr w:type="spellStart"/>
      <w:r w:rsidRPr="004604B5">
        <w:rPr>
          <w:rFonts w:ascii="Cambria" w:hAnsi="Cambria"/>
        </w:rPr>
        <w:t>Ass</w:t>
      </w:r>
      <w:proofErr w:type="spellEnd"/>
      <w:r w:rsidRPr="004604B5">
        <w:rPr>
          <w:rFonts w:ascii="Cambria" w:hAnsi="Cambria"/>
        </w:rPr>
        <w:t xml:space="preserve"> Club De Tir Tiare </w:t>
      </w:r>
      <w:proofErr w:type="spellStart"/>
      <w:r w:rsidRPr="004604B5">
        <w:rPr>
          <w:rFonts w:ascii="Cambria" w:hAnsi="Cambria"/>
        </w:rPr>
        <w:t>Apetahi</w:t>
      </w:r>
      <w:proofErr w:type="spellEnd"/>
      <w:r w:rsidRPr="004604B5">
        <w:rPr>
          <w:rFonts w:ascii="Cambria" w:hAnsi="Cambria"/>
        </w:rPr>
        <w:t xml:space="preserve">, Comite Football, Futsal, Beach Soccer De Tubuai, </w:t>
      </w:r>
      <w:proofErr w:type="spellStart"/>
      <w:r w:rsidRPr="004604B5">
        <w:rPr>
          <w:rFonts w:ascii="Cambria" w:hAnsi="Cambria"/>
        </w:rPr>
        <w:t>Ass</w:t>
      </w:r>
      <w:proofErr w:type="spellEnd"/>
      <w:r w:rsidRPr="004604B5">
        <w:rPr>
          <w:rFonts w:ascii="Cambria" w:hAnsi="Cambria"/>
        </w:rPr>
        <w:t xml:space="preserve"> Ecole De Voile De </w:t>
      </w:r>
      <w:proofErr w:type="spellStart"/>
      <w:r w:rsidRPr="004604B5">
        <w:rPr>
          <w:rFonts w:ascii="Cambria" w:hAnsi="Cambria"/>
        </w:rPr>
        <w:t>Arue</w:t>
      </w:r>
      <w:proofErr w:type="spellEnd"/>
      <w:r w:rsidRPr="004604B5">
        <w:rPr>
          <w:rFonts w:ascii="Cambria" w:hAnsi="Cambria"/>
        </w:rPr>
        <w:t xml:space="preserve">, </w:t>
      </w:r>
      <w:proofErr w:type="spellStart"/>
      <w:r w:rsidRPr="004604B5">
        <w:rPr>
          <w:rFonts w:ascii="Cambria" w:hAnsi="Cambria"/>
        </w:rPr>
        <w:t>Ass</w:t>
      </w:r>
      <w:proofErr w:type="spellEnd"/>
      <w:r w:rsidRPr="004604B5">
        <w:rPr>
          <w:rFonts w:ascii="Cambria" w:hAnsi="Cambria"/>
        </w:rPr>
        <w:t xml:space="preserve"> Vélo Club de Tahiti et des Iles, </w:t>
      </w:r>
      <w:proofErr w:type="spellStart"/>
      <w:r w:rsidRPr="004604B5">
        <w:rPr>
          <w:rFonts w:ascii="Cambria" w:hAnsi="Cambria"/>
        </w:rPr>
        <w:t>Ass</w:t>
      </w:r>
      <w:proofErr w:type="spellEnd"/>
      <w:r w:rsidRPr="004604B5">
        <w:rPr>
          <w:rFonts w:ascii="Cambria" w:hAnsi="Cambria"/>
        </w:rPr>
        <w:t xml:space="preserve"> Sportive </w:t>
      </w:r>
      <w:proofErr w:type="spellStart"/>
      <w:r w:rsidRPr="004604B5">
        <w:rPr>
          <w:rFonts w:ascii="Cambria" w:hAnsi="Cambria"/>
        </w:rPr>
        <w:t>Mahina</w:t>
      </w:r>
      <w:proofErr w:type="spellEnd"/>
      <w:r w:rsidRPr="004604B5">
        <w:rPr>
          <w:rFonts w:ascii="Cambria" w:hAnsi="Cambria"/>
        </w:rPr>
        <w:t xml:space="preserve"> Nui, </w:t>
      </w:r>
      <w:proofErr w:type="spellStart"/>
      <w:r w:rsidRPr="004604B5">
        <w:rPr>
          <w:rFonts w:ascii="Cambria" w:hAnsi="Cambria"/>
        </w:rPr>
        <w:t>Ass</w:t>
      </w:r>
      <w:proofErr w:type="spellEnd"/>
      <w:r w:rsidRPr="004604B5">
        <w:rPr>
          <w:rFonts w:ascii="Cambria" w:hAnsi="Cambria"/>
        </w:rPr>
        <w:t xml:space="preserve"> I Mua Natation, </w:t>
      </w:r>
      <w:proofErr w:type="spellStart"/>
      <w:r w:rsidRPr="004604B5">
        <w:rPr>
          <w:rFonts w:ascii="Cambria" w:hAnsi="Cambria"/>
        </w:rPr>
        <w:t>Ass</w:t>
      </w:r>
      <w:proofErr w:type="spellEnd"/>
      <w:r w:rsidRPr="004604B5">
        <w:rPr>
          <w:rFonts w:ascii="Cambria" w:hAnsi="Cambria"/>
        </w:rPr>
        <w:t xml:space="preserve"> </w:t>
      </w:r>
      <w:proofErr w:type="spellStart"/>
      <w:r w:rsidRPr="004604B5">
        <w:rPr>
          <w:rFonts w:ascii="Cambria" w:hAnsi="Cambria"/>
        </w:rPr>
        <w:t>Heelani</w:t>
      </w:r>
      <w:proofErr w:type="spellEnd"/>
      <w:r w:rsidRPr="004604B5">
        <w:rPr>
          <w:rFonts w:ascii="Cambria" w:hAnsi="Cambria"/>
        </w:rPr>
        <w:t xml:space="preserve"> </w:t>
      </w:r>
      <w:proofErr w:type="spellStart"/>
      <w:r w:rsidRPr="004604B5">
        <w:rPr>
          <w:rFonts w:ascii="Cambria" w:hAnsi="Cambria"/>
        </w:rPr>
        <w:t>Va'a</w:t>
      </w:r>
      <w:proofErr w:type="spellEnd"/>
      <w:r w:rsidRPr="004604B5">
        <w:rPr>
          <w:rFonts w:ascii="Cambria" w:hAnsi="Cambria"/>
        </w:rPr>
        <w:t xml:space="preserve"> No Punaauia, </w:t>
      </w:r>
      <w:proofErr w:type="spellStart"/>
      <w:r w:rsidRPr="004604B5">
        <w:rPr>
          <w:rFonts w:ascii="Cambria" w:hAnsi="Cambria"/>
        </w:rPr>
        <w:t>Ass</w:t>
      </w:r>
      <w:proofErr w:type="spellEnd"/>
      <w:r w:rsidRPr="004604B5">
        <w:rPr>
          <w:rFonts w:ascii="Cambria" w:hAnsi="Cambria"/>
        </w:rPr>
        <w:t xml:space="preserve"> Team </w:t>
      </w:r>
      <w:proofErr w:type="spellStart"/>
      <w:r w:rsidRPr="004604B5">
        <w:rPr>
          <w:rFonts w:ascii="Cambria" w:hAnsi="Cambria"/>
        </w:rPr>
        <w:t>Faa'a</w:t>
      </w:r>
      <w:proofErr w:type="spellEnd"/>
      <w:r w:rsidRPr="004604B5">
        <w:rPr>
          <w:rFonts w:ascii="Cambria" w:hAnsi="Cambria"/>
        </w:rPr>
        <w:t xml:space="preserve"> </w:t>
      </w:r>
      <w:proofErr w:type="spellStart"/>
      <w:r w:rsidRPr="004604B5">
        <w:rPr>
          <w:rFonts w:ascii="Cambria" w:hAnsi="Cambria"/>
        </w:rPr>
        <w:t>Va'a</w:t>
      </w:r>
      <w:proofErr w:type="spellEnd"/>
      <w:r w:rsidRPr="004604B5">
        <w:rPr>
          <w:rFonts w:ascii="Cambria" w:hAnsi="Cambria"/>
        </w:rPr>
        <w:t xml:space="preserve">, Club Equestre De Tahiti, </w:t>
      </w:r>
      <w:proofErr w:type="spellStart"/>
      <w:r w:rsidRPr="004604B5">
        <w:rPr>
          <w:rFonts w:ascii="Cambria" w:hAnsi="Cambria"/>
        </w:rPr>
        <w:t>Ass</w:t>
      </w:r>
      <w:proofErr w:type="spellEnd"/>
      <w:r w:rsidRPr="004604B5">
        <w:rPr>
          <w:rFonts w:ascii="Cambria" w:hAnsi="Cambria"/>
        </w:rPr>
        <w:t xml:space="preserve"> Paea Manu </w:t>
      </w:r>
      <w:proofErr w:type="spellStart"/>
      <w:r w:rsidRPr="004604B5">
        <w:rPr>
          <w:rFonts w:ascii="Cambria" w:hAnsi="Cambria"/>
        </w:rPr>
        <w:t>Ura</w:t>
      </w:r>
      <w:proofErr w:type="spellEnd"/>
      <w:r w:rsidRPr="004604B5">
        <w:rPr>
          <w:rFonts w:ascii="Cambria" w:hAnsi="Cambria"/>
        </w:rPr>
        <w:t xml:space="preserve"> Rugby Club, </w:t>
      </w:r>
      <w:proofErr w:type="spellStart"/>
      <w:r w:rsidRPr="004604B5">
        <w:rPr>
          <w:rFonts w:ascii="Cambria" w:hAnsi="Cambria"/>
        </w:rPr>
        <w:t>Ass</w:t>
      </w:r>
      <w:proofErr w:type="spellEnd"/>
      <w:r w:rsidRPr="004604B5">
        <w:rPr>
          <w:rFonts w:ascii="Cambria" w:hAnsi="Cambria"/>
        </w:rPr>
        <w:t xml:space="preserve"> </w:t>
      </w:r>
      <w:proofErr w:type="spellStart"/>
      <w:r w:rsidRPr="004604B5">
        <w:rPr>
          <w:rFonts w:ascii="Cambria" w:hAnsi="Cambria"/>
        </w:rPr>
        <w:t>Ootaatii</w:t>
      </w:r>
      <w:proofErr w:type="spellEnd"/>
      <w:r w:rsidRPr="004604B5">
        <w:rPr>
          <w:rFonts w:ascii="Cambria" w:hAnsi="Cambria"/>
        </w:rPr>
        <w:t xml:space="preserve">, </w:t>
      </w:r>
      <w:proofErr w:type="spellStart"/>
      <w:r w:rsidRPr="004604B5">
        <w:rPr>
          <w:rFonts w:ascii="Cambria" w:hAnsi="Cambria"/>
        </w:rPr>
        <w:t>Ass</w:t>
      </w:r>
      <w:proofErr w:type="spellEnd"/>
      <w:r w:rsidRPr="004604B5">
        <w:rPr>
          <w:rFonts w:ascii="Cambria" w:hAnsi="Cambria"/>
        </w:rPr>
        <w:t xml:space="preserve"> </w:t>
      </w:r>
      <w:proofErr w:type="spellStart"/>
      <w:r w:rsidRPr="004604B5">
        <w:rPr>
          <w:rFonts w:ascii="Cambria" w:hAnsi="Cambria"/>
        </w:rPr>
        <w:t>Ihilani</w:t>
      </w:r>
      <w:proofErr w:type="spellEnd"/>
      <w:r w:rsidRPr="004604B5">
        <w:rPr>
          <w:rFonts w:ascii="Cambria" w:hAnsi="Cambria"/>
        </w:rPr>
        <w:t xml:space="preserve"> </w:t>
      </w:r>
      <w:proofErr w:type="spellStart"/>
      <w:r w:rsidRPr="004604B5">
        <w:rPr>
          <w:rFonts w:ascii="Cambria" w:hAnsi="Cambria"/>
        </w:rPr>
        <w:t>Va'a</w:t>
      </w:r>
      <w:proofErr w:type="spellEnd"/>
      <w:r w:rsidRPr="004604B5">
        <w:rPr>
          <w:rFonts w:ascii="Cambria" w:hAnsi="Cambria"/>
        </w:rPr>
        <w:t xml:space="preserve">, </w:t>
      </w:r>
      <w:proofErr w:type="spellStart"/>
      <w:r w:rsidRPr="004604B5">
        <w:rPr>
          <w:rFonts w:ascii="Cambria" w:hAnsi="Cambria"/>
        </w:rPr>
        <w:t>Ass</w:t>
      </w:r>
      <w:proofErr w:type="spellEnd"/>
      <w:r w:rsidRPr="004604B5">
        <w:rPr>
          <w:rFonts w:ascii="Cambria" w:hAnsi="Cambria"/>
        </w:rPr>
        <w:t xml:space="preserve"> </w:t>
      </w:r>
      <w:proofErr w:type="spellStart"/>
      <w:r w:rsidRPr="004604B5">
        <w:rPr>
          <w:rFonts w:ascii="Cambria" w:hAnsi="Cambria"/>
        </w:rPr>
        <w:t>Taurea</w:t>
      </w:r>
      <w:proofErr w:type="spellEnd"/>
      <w:r w:rsidRPr="004604B5">
        <w:rPr>
          <w:rFonts w:ascii="Cambria" w:hAnsi="Cambria"/>
        </w:rPr>
        <w:t xml:space="preserve"> </w:t>
      </w:r>
      <w:proofErr w:type="spellStart"/>
      <w:r w:rsidRPr="004604B5">
        <w:rPr>
          <w:rFonts w:ascii="Cambria" w:hAnsi="Cambria"/>
        </w:rPr>
        <w:t>Toahotu</w:t>
      </w:r>
      <w:proofErr w:type="spellEnd"/>
      <w:r w:rsidRPr="004604B5">
        <w:rPr>
          <w:rFonts w:ascii="Cambria" w:hAnsi="Cambria"/>
        </w:rPr>
        <w:t xml:space="preserve">, </w:t>
      </w:r>
      <w:proofErr w:type="spellStart"/>
      <w:r w:rsidRPr="004604B5">
        <w:rPr>
          <w:rFonts w:ascii="Cambria" w:hAnsi="Cambria"/>
        </w:rPr>
        <w:t>Ass</w:t>
      </w:r>
      <w:proofErr w:type="spellEnd"/>
      <w:r w:rsidRPr="004604B5">
        <w:rPr>
          <w:rFonts w:ascii="Cambria" w:hAnsi="Cambria"/>
        </w:rPr>
        <w:t xml:space="preserve"> </w:t>
      </w:r>
      <w:proofErr w:type="spellStart"/>
      <w:r w:rsidRPr="004604B5">
        <w:rPr>
          <w:rFonts w:ascii="Cambria" w:hAnsi="Cambria"/>
        </w:rPr>
        <w:t>Tefana</w:t>
      </w:r>
      <w:proofErr w:type="spellEnd"/>
      <w:r w:rsidRPr="004604B5">
        <w:rPr>
          <w:rFonts w:ascii="Cambria" w:hAnsi="Cambria"/>
        </w:rPr>
        <w:t xml:space="preserve"> </w:t>
      </w:r>
      <w:proofErr w:type="spellStart"/>
      <w:r w:rsidRPr="004604B5">
        <w:rPr>
          <w:rFonts w:ascii="Cambria" w:hAnsi="Cambria"/>
        </w:rPr>
        <w:t>Jutjitsu</w:t>
      </w:r>
      <w:proofErr w:type="spellEnd"/>
      <w:r w:rsidRPr="004604B5">
        <w:rPr>
          <w:rFonts w:ascii="Cambria" w:hAnsi="Cambria"/>
        </w:rPr>
        <w:t xml:space="preserve">, </w:t>
      </w:r>
      <w:proofErr w:type="spellStart"/>
      <w:r w:rsidRPr="004604B5">
        <w:rPr>
          <w:rFonts w:ascii="Cambria" w:hAnsi="Cambria"/>
        </w:rPr>
        <w:t>Ass</w:t>
      </w:r>
      <w:proofErr w:type="spellEnd"/>
      <w:r w:rsidRPr="004604B5">
        <w:rPr>
          <w:rFonts w:ascii="Cambria" w:hAnsi="Cambria"/>
        </w:rPr>
        <w:t xml:space="preserve"> Tennis Club Bora Bora , </w:t>
      </w:r>
      <w:proofErr w:type="spellStart"/>
      <w:r w:rsidRPr="004604B5">
        <w:rPr>
          <w:rFonts w:ascii="Cambria" w:hAnsi="Cambria"/>
        </w:rPr>
        <w:t>Ass</w:t>
      </w:r>
      <w:proofErr w:type="spellEnd"/>
      <w:r w:rsidRPr="004604B5">
        <w:rPr>
          <w:rFonts w:ascii="Cambria" w:hAnsi="Cambria"/>
        </w:rPr>
        <w:t xml:space="preserve"> Team </w:t>
      </w:r>
      <w:proofErr w:type="spellStart"/>
      <w:r w:rsidRPr="004604B5">
        <w:rPr>
          <w:rFonts w:ascii="Cambria" w:hAnsi="Cambria"/>
        </w:rPr>
        <w:t>Tohie'a</w:t>
      </w:r>
      <w:proofErr w:type="spellEnd"/>
      <w:r w:rsidRPr="004604B5">
        <w:rPr>
          <w:rFonts w:ascii="Cambria" w:hAnsi="Cambria"/>
        </w:rPr>
        <w:t xml:space="preserve">, </w:t>
      </w:r>
      <w:proofErr w:type="spellStart"/>
      <w:r w:rsidRPr="004604B5">
        <w:rPr>
          <w:rFonts w:ascii="Cambria" w:hAnsi="Cambria"/>
        </w:rPr>
        <w:t>Ass</w:t>
      </w:r>
      <w:proofErr w:type="spellEnd"/>
      <w:r w:rsidRPr="004604B5">
        <w:rPr>
          <w:rFonts w:ascii="Cambria" w:hAnsi="Cambria"/>
        </w:rPr>
        <w:t xml:space="preserve"> </w:t>
      </w:r>
      <w:proofErr w:type="spellStart"/>
      <w:r w:rsidRPr="004604B5">
        <w:rPr>
          <w:rFonts w:ascii="Cambria" w:hAnsi="Cambria"/>
        </w:rPr>
        <w:t>Rairoa</w:t>
      </w:r>
      <w:proofErr w:type="spellEnd"/>
      <w:r w:rsidRPr="004604B5">
        <w:rPr>
          <w:rFonts w:ascii="Cambria" w:hAnsi="Cambria"/>
        </w:rPr>
        <w:t xml:space="preserve"> </w:t>
      </w:r>
      <w:proofErr w:type="spellStart"/>
      <w:r w:rsidRPr="004604B5">
        <w:rPr>
          <w:rFonts w:ascii="Cambria" w:hAnsi="Cambria"/>
        </w:rPr>
        <w:t>Va'a</w:t>
      </w:r>
      <w:proofErr w:type="spellEnd"/>
      <w:r w:rsidRPr="004604B5">
        <w:rPr>
          <w:rFonts w:ascii="Cambria" w:hAnsi="Cambria"/>
        </w:rPr>
        <w:t xml:space="preserve">, </w:t>
      </w:r>
      <w:proofErr w:type="spellStart"/>
      <w:r w:rsidRPr="004604B5">
        <w:rPr>
          <w:rFonts w:ascii="Cambria" w:hAnsi="Cambria"/>
        </w:rPr>
        <w:t>Ass</w:t>
      </w:r>
      <w:proofErr w:type="spellEnd"/>
      <w:r w:rsidRPr="004604B5">
        <w:rPr>
          <w:rFonts w:ascii="Cambria" w:hAnsi="Cambria"/>
        </w:rPr>
        <w:t xml:space="preserve"> Tennis Club Raiatea, </w:t>
      </w:r>
      <w:proofErr w:type="spellStart"/>
      <w:r w:rsidRPr="004604B5">
        <w:rPr>
          <w:rFonts w:ascii="Cambria" w:hAnsi="Cambria"/>
        </w:rPr>
        <w:t>Ass</w:t>
      </w:r>
      <w:proofErr w:type="spellEnd"/>
      <w:r w:rsidRPr="004604B5">
        <w:rPr>
          <w:rFonts w:ascii="Cambria" w:hAnsi="Cambria"/>
        </w:rPr>
        <w:t xml:space="preserve"> </w:t>
      </w:r>
      <w:proofErr w:type="spellStart"/>
      <w:r w:rsidRPr="004604B5">
        <w:rPr>
          <w:rFonts w:ascii="Cambria" w:hAnsi="Cambria"/>
        </w:rPr>
        <w:t>Tamarii</w:t>
      </w:r>
      <w:proofErr w:type="spellEnd"/>
      <w:r w:rsidRPr="004604B5">
        <w:rPr>
          <w:rFonts w:ascii="Cambria" w:hAnsi="Cambria"/>
        </w:rPr>
        <w:t xml:space="preserve"> Tuhaa Pae, </w:t>
      </w:r>
      <w:proofErr w:type="spellStart"/>
      <w:r w:rsidRPr="004604B5">
        <w:rPr>
          <w:rFonts w:ascii="Cambria" w:hAnsi="Cambria"/>
        </w:rPr>
        <w:t>Ass</w:t>
      </w:r>
      <w:proofErr w:type="spellEnd"/>
      <w:r w:rsidRPr="004604B5">
        <w:rPr>
          <w:rFonts w:ascii="Cambria" w:hAnsi="Cambria"/>
        </w:rPr>
        <w:t xml:space="preserve"> Cercle Des Nageurs Sauveteurs de </w:t>
      </w:r>
      <w:proofErr w:type="spellStart"/>
      <w:r w:rsidRPr="004604B5">
        <w:rPr>
          <w:rFonts w:ascii="Cambria" w:hAnsi="Cambria"/>
        </w:rPr>
        <w:t>Teva</w:t>
      </w:r>
      <w:proofErr w:type="spellEnd"/>
    </w:p>
    <w:p w14:paraId="63EC1E37" w14:textId="77777777" w:rsidR="004604B5" w:rsidRPr="00B179D6" w:rsidRDefault="004604B5" w:rsidP="004604B5">
      <w:pPr>
        <w:spacing w:after="100"/>
        <w:jc w:val="both"/>
        <w:rPr>
          <w:sz w:val="22"/>
          <w:szCs w:val="22"/>
        </w:rPr>
      </w:pPr>
    </w:p>
    <w:p w14:paraId="7E5B8083" w14:textId="53E09650" w:rsidR="000F3966" w:rsidRPr="000F3966" w:rsidRDefault="000F3966" w:rsidP="000F3966">
      <w:pPr>
        <w:spacing w:before="100" w:beforeAutospacing="1" w:after="100" w:afterAutospacing="1"/>
        <w:jc w:val="both"/>
        <w:rPr>
          <w:rFonts w:ascii="Cambria" w:hAnsi="Cambria"/>
          <w:lang w:eastAsia="fr-FR"/>
        </w:rPr>
      </w:pPr>
      <w:r w:rsidRPr="000F3966">
        <w:rPr>
          <w:rFonts w:ascii="Cambria" w:hAnsi="Cambria"/>
          <w:b/>
          <w:bCs/>
          <w:lang w:eastAsia="fr-FR"/>
        </w:rPr>
        <w:t>Subventions en faveur du Centre hospitalier de Polynésie française</w:t>
      </w:r>
    </w:p>
    <w:p w14:paraId="175E19B4" w14:textId="69F34D1B" w:rsidR="000F3966" w:rsidRPr="000F3966" w:rsidRDefault="000F3966" w:rsidP="000F3966">
      <w:pPr>
        <w:spacing w:before="100" w:beforeAutospacing="1" w:after="100" w:afterAutospacing="1"/>
        <w:jc w:val="both"/>
        <w:rPr>
          <w:rFonts w:ascii="Cambria" w:hAnsi="Cambria"/>
          <w:lang w:eastAsia="fr-FR"/>
        </w:rPr>
      </w:pPr>
      <w:r w:rsidRPr="000F3966">
        <w:rPr>
          <w:rFonts w:ascii="Cambria" w:hAnsi="Cambria"/>
          <w:lang w:eastAsia="fr-FR"/>
        </w:rPr>
        <w:t xml:space="preserve">Le CHPF a mis en place un programme d’investissement pour 10 ans, de 2019 à 2029, visant au renouvellement de ses équipements et du mobilier médical. Dans ce cadre, pour l’année 2021, le Conseil des ministres a approuvé l’attribution d’une subvention en investissement en faveur du Centre hospitalier de Polynésie française (CHPF) pour l’acquisition de matériels et mobiliers médicaux pour un montant total de 650 000 000 </w:t>
      </w:r>
      <w:proofErr w:type="spellStart"/>
      <w:r w:rsidRPr="000F3966">
        <w:rPr>
          <w:rFonts w:ascii="Cambria" w:hAnsi="Cambria"/>
          <w:lang w:eastAsia="fr-FR"/>
        </w:rPr>
        <w:t>Fcfp</w:t>
      </w:r>
      <w:proofErr w:type="spellEnd"/>
      <w:r w:rsidRPr="000F3966">
        <w:rPr>
          <w:rFonts w:ascii="Cambria" w:hAnsi="Cambria"/>
          <w:lang w:eastAsia="fr-FR"/>
        </w:rPr>
        <w:t xml:space="preserve"> répartis comme </w:t>
      </w:r>
      <w:proofErr w:type="gramStart"/>
      <w:r w:rsidRPr="000F3966">
        <w:rPr>
          <w:rFonts w:ascii="Cambria" w:hAnsi="Cambria"/>
          <w:lang w:eastAsia="fr-FR"/>
        </w:rPr>
        <w:t>suit:</w:t>
      </w:r>
      <w:proofErr w:type="gramEnd"/>
      <w:r w:rsidRPr="000F3966">
        <w:rPr>
          <w:rFonts w:ascii="Cambria" w:hAnsi="Cambria"/>
          <w:lang w:eastAsia="fr-FR"/>
        </w:rPr>
        <w:t xml:space="preserve"> 599 493 728 </w:t>
      </w:r>
      <w:proofErr w:type="spellStart"/>
      <w:r w:rsidRPr="000F3966">
        <w:rPr>
          <w:rFonts w:ascii="Cambria" w:hAnsi="Cambria"/>
          <w:lang w:eastAsia="fr-FR"/>
        </w:rPr>
        <w:t>Fcfp</w:t>
      </w:r>
      <w:proofErr w:type="spellEnd"/>
      <w:r w:rsidRPr="000F3966">
        <w:rPr>
          <w:rFonts w:ascii="Cambria" w:hAnsi="Cambria"/>
          <w:lang w:eastAsia="fr-FR"/>
        </w:rPr>
        <w:t xml:space="preserve"> pour le matériel médical et 50 506 272 </w:t>
      </w:r>
      <w:proofErr w:type="spellStart"/>
      <w:r w:rsidRPr="000F3966">
        <w:rPr>
          <w:rFonts w:ascii="Cambria" w:hAnsi="Cambria"/>
          <w:lang w:eastAsia="fr-FR"/>
        </w:rPr>
        <w:t>Fcfp</w:t>
      </w:r>
      <w:proofErr w:type="spellEnd"/>
      <w:r w:rsidRPr="000F3966">
        <w:rPr>
          <w:rFonts w:ascii="Cambria" w:hAnsi="Cambria"/>
          <w:lang w:eastAsia="fr-FR"/>
        </w:rPr>
        <w:t xml:space="preserve"> pour le mobilier médical.</w:t>
      </w:r>
    </w:p>
    <w:p w14:paraId="100CC877" w14:textId="77777777" w:rsidR="000F3966" w:rsidRPr="000F3966" w:rsidRDefault="000F3966" w:rsidP="000F3966">
      <w:pPr>
        <w:spacing w:before="100" w:beforeAutospacing="1" w:after="100" w:afterAutospacing="1"/>
        <w:jc w:val="both"/>
        <w:rPr>
          <w:rFonts w:ascii="Cambria" w:hAnsi="Cambria"/>
          <w:lang w:eastAsia="fr-FR"/>
        </w:rPr>
      </w:pPr>
      <w:r w:rsidRPr="000F3966">
        <w:rPr>
          <w:rFonts w:ascii="Cambria" w:hAnsi="Cambria"/>
          <w:lang w:eastAsia="fr-FR"/>
        </w:rPr>
        <w:t>Ce mobilier médical concerne l’achat de 4 lits spécialisés pour le service de réanimation, 44 lits d’hospitalisation pour tous les services du CHPF, 2 tables d’examen pour le bloc obstétrique pour l’examen des patients, 20 fauteuils d’hospitalisation pour tous les services du CHPF pour l’accueil et le transfert des patients et 20 brancards avec matelas pour le transport des patients.</w:t>
      </w:r>
    </w:p>
    <w:p w14:paraId="557327F0" w14:textId="1DB66A5F" w:rsidR="000F3966" w:rsidRPr="000F3966" w:rsidRDefault="000F3966" w:rsidP="000F3966">
      <w:pPr>
        <w:spacing w:before="100" w:beforeAutospacing="1" w:after="100" w:afterAutospacing="1"/>
        <w:jc w:val="both"/>
        <w:rPr>
          <w:rFonts w:ascii="Cambria" w:hAnsi="Cambria"/>
          <w:lang w:eastAsia="fr-FR"/>
        </w:rPr>
      </w:pPr>
      <w:r w:rsidRPr="000F3966">
        <w:rPr>
          <w:rFonts w:ascii="Cambria" w:hAnsi="Cambria"/>
          <w:lang w:eastAsia="fr-FR"/>
        </w:rPr>
        <w:t xml:space="preserve">Cette demande de subvention a fait l’objet d’une validation en comité de pilotage du 29 avril dernier, dans le cadre de la programmation 2021 du Contrat de développement et de transformation entre l’Etat et la Polynésie française, pour un montant total de l’opération s’élevant à 650 000 000 </w:t>
      </w:r>
      <w:proofErr w:type="spellStart"/>
      <w:r w:rsidRPr="000F3966">
        <w:rPr>
          <w:rFonts w:ascii="Cambria" w:hAnsi="Cambria"/>
          <w:lang w:eastAsia="fr-FR"/>
        </w:rPr>
        <w:t>Fcfp</w:t>
      </w:r>
      <w:proofErr w:type="spellEnd"/>
      <w:r w:rsidRPr="000F3966">
        <w:rPr>
          <w:rFonts w:ascii="Cambria" w:hAnsi="Cambria"/>
          <w:lang w:eastAsia="fr-FR"/>
        </w:rPr>
        <w:t xml:space="preserve">, avec un cofinancement réparti comme suit : 325 000 000 </w:t>
      </w:r>
      <w:proofErr w:type="spellStart"/>
      <w:r w:rsidRPr="000F3966">
        <w:rPr>
          <w:rFonts w:ascii="Cambria" w:hAnsi="Cambria"/>
          <w:lang w:eastAsia="fr-FR"/>
        </w:rPr>
        <w:t>Fcfp</w:t>
      </w:r>
      <w:proofErr w:type="spellEnd"/>
      <w:r w:rsidRPr="000F3966">
        <w:rPr>
          <w:rFonts w:ascii="Cambria" w:hAnsi="Cambria"/>
          <w:lang w:eastAsia="fr-FR"/>
        </w:rPr>
        <w:t xml:space="preserve">, soit 50%, correspondant à la part de l’Eta et 325 000 000 </w:t>
      </w:r>
      <w:proofErr w:type="spellStart"/>
      <w:r w:rsidRPr="000F3966">
        <w:rPr>
          <w:rFonts w:ascii="Cambria" w:hAnsi="Cambria"/>
          <w:lang w:eastAsia="fr-FR"/>
        </w:rPr>
        <w:t>Fcfp</w:t>
      </w:r>
      <w:proofErr w:type="spellEnd"/>
      <w:r w:rsidRPr="000F3966">
        <w:rPr>
          <w:rFonts w:ascii="Cambria" w:hAnsi="Cambria"/>
          <w:lang w:eastAsia="fr-FR"/>
        </w:rPr>
        <w:t>, soit 50% également, pour la part du Pays.</w:t>
      </w:r>
    </w:p>
    <w:p w14:paraId="3DD0108F" w14:textId="77777777" w:rsidR="000F3966" w:rsidRPr="000F3966" w:rsidRDefault="000F3966" w:rsidP="000F3966">
      <w:pPr>
        <w:spacing w:before="100" w:beforeAutospacing="1" w:after="100" w:afterAutospacing="1"/>
        <w:jc w:val="both"/>
        <w:rPr>
          <w:rFonts w:ascii="Cambria" w:hAnsi="Cambria"/>
          <w:lang w:eastAsia="fr-FR"/>
        </w:rPr>
      </w:pPr>
      <w:r w:rsidRPr="000F3966">
        <w:rPr>
          <w:rFonts w:ascii="Cambria" w:hAnsi="Cambria"/>
          <w:lang w:eastAsia="fr-FR"/>
        </w:rPr>
        <w:t xml:space="preserve">Le Conseil des ministres a par ailleurs également approuvé l’attribution d’une subvention en fonctionnement pour l’année 2021 en faveur du CHPF pour le financement des ressorts de la performance par le recrutement de compétences spécialisées, pour un montant total de 220 000 000 </w:t>
      </w:r>
      <w:proofErr w:type="spellStart"/>
      <w:r w:rsidRPr="000F3966">
        <w:rPr>
          <w:rFonts w:ascii="Cambria" w:hAnsi="Cambria"/>
          <w:lang w:eastAsia="fr-FR"/>
        </w:rPr>
        <w:t>Fcfp</w:t>
      </w:r>
      <w:proofErr w:type="spellEnd"/>
      <w:r w:rsidRPr="000F3966">
        <w:rPr>
          <w:rFonts w:ascii="Cambria" w:hAnsi="Cambria"/>
          <w:lang w:eastAsia="fr-FR"/>
        </w:rPr>
        <w:t>.</w:t>
      </w:r>
    </w:p>
    <w:p w14:paraId="721806C7" w14:textId="1DD81C79" w:rsidR="000F3966" w:rsidRPr="000F3966" w:rsidRDefault="000F3966" w:rsidP="000F3966">
      <w:pPr>
        <w:spacing w:before="100" w:beforeAutospacing="1" w:after="100" w:afterAutospacing="1"/>
        <w:jc w:val="both"/>
        <w:rPr>
          <w:lang w:eastAsia="fr-FR"/>
        </w:rPr>
      </w:pPr>
      <w:r w:rsidRPr="000F3966">
        <w:rPr>
          <w:rFonts w:ascii="Cambria" w:hAnsi="Cambria"/>
          <w:lang w:eastAsia="fr-FR"/>
        </w:rPr>
        <w:lastRenderedPageBreak/>
        <w:t>Cette opération s’inscrit dans le programme PARE (Performance et Action de Retour à l’Equilibre), élaboré par le CHPF pour la période 2021-2023, qui vise la remise à niveau des ressources financières de l’établissement, adossé à un plan d’accompagnement du Pays et l’instauration d’une culture de performance publique en s’inscrivant dans une dynamique de rénovation managériale, organisationnelle et processuelle. Le programme PARE porte une trajectoire financière sur 3 ans dont la construction vers un retour à l’équilibre s’appuie sur l’efficience en termes de dépenses et de recettes du CHPF et sur l’accompagnement du Pays</w:t>
      </w:r>
      <w:r w:rsidRPr="000F3966">
        <w:rPr>
          <w:lang w:eastAsia="fr-FR"/>
        </w:rPr>
        <w:t>.</w:t>
      </w:r>
    </w:p>
    <w:p w14:paraId="77558A9A" w14:textId="3FEC6FE4" w:rsidR="004604B5" w:rsidRDefault="004604B5" w:rsidP="00302594">
      <w:pPr>
        <w:spacing w:after="120"/>
        <w:jc w:val="both"/>
        <w:rPr>
          <w:rFonts w:ascii="Cambria" w:hAnsi="Cambria"/>
          <w:sz w:val="22"/>
        </w:rPr>
      </w:pPr>
    </w:p>
    <w:p w14:paraId="31A37D8D" w14:textId="77777777" w:rsidR="002F0ABA" w:rsidRDefault="002F0ABA" w:rsidP="002F0ABA">
      <w:pPr>
        <w:rPr>
          <w:rFonts w:ascii="Cambria" w:hAnsi="Cambria"/>
          <w:b/>
          <w:bCs/>
          <w:lang w:eastAsia="en-US"/>
        </w:rPr>
      </w:pPr>
      <w:r>
        <w:rPr>
          <w:rFonts w:ascii="Cambria" w:hAnsi="Cambria"/>
          <w:b/>
          <w:bCs/>
        </w:rPr>
        <w:t>Utilisation des tests de dépistage</w:t>
      </w:r>
    </w:p>
    <w:p w14:paraId="6814499C" w14:textId="77777777" w:rsidR="002F0ABA" w:rsidRDefault="002F0ABA" w:rsidP="002F0ABA">
      <w:pPr>
        <w:rPr>
          <w:rFonts w:ascii="Cambria" w:hAnsi="Cambria"/>
          <w:b/>
          <w:bCs/>
        </w:rPr>
      </w:pPr>
    </w:p>
    <w:p w14:paraId="6D58D922" w14:textId="77777777" w:rsidR="002F0ABA" w:rsidRDefault="002F0ABA" w:rsidP="002F0ABA">
      <w:pPr>
        <w:jc w:val="both"/>
        <w:rPr>
          <w:rFonts w:ascii="Cambria" w:hAnsi="Cambria"/>
        </w:rPr>
      </w:pPr>
      <w:r>
        <w:rPr>
          <w:rFonts w:ascii="Cambria" w:hAnsi="Cambria"/>
        </w:rPr>
        <w:t>Un arrêté du Conseil des ministres du 7 octobre 2020 fixe l'utilisation de tests virologiques de dépistage rapide du SARS-CoV-2 (virus de la Covid-19).</w:t>
      </w:r>
    </w:p>
    <w:p w14:paraId="048EEA09" w14:textId="77777777" w:rsidR="002F0ABA" w:rsidRDefault="002F0ABA" w:rsidP="002F0ABA">
      <w:pPr>
        <w:jc w:val="both"/>
        <w:rPr>
          <w:rFonts w:ascii="Cambria" w:hAnsi="Cambria"/>
        </w:rPr>
      </w:pPr>
    </w:p>
    <w:p w14:paraId="79B51855" w14:textId="77777777" w:rsidR="002F0ABA" w:rsidRDefault="002F0ABA" w:rsidP="002F0ABA">
      <w:pPr>
        <w:jc w:val="both"/>
        <w:rPr>
          <w:rFonts w:ascii="Cambria" w:hAnsi="Cambria"/>
        </w:rPr>
      </w:pPr>
      <w:r>
        <w:rPr>
          <w:rFonts w:ascii="Cambria" w:hAnsi="Cambria"/>
        </w:rPr>
        <w:t>Compte tenu du contexte épidémique actuel et de la nécessité de redéployer le plus possible de professionnels de santé vers la prise en charge des soins et la vaccination contre la Covid-19, il a été proposé de faire évoluer le schéma de dépistage de la population, qui est dans son modèle actuel, extrêmement consommateur en personnels infirmiers.</w:t>
      </w:r>
    </w:p>
    <w:p w14:paraId="33737682" w14:textId="77777777" w:rsidR="002F0ABA" w:rsidRDefault="002F0ABA" w:rsidP="002F0ABA">
      <w:pPr>
        <w:jc w:val="both"/>
        <w:rPr>
          <w:rFonts w:ascii="Cambria" w:hAnsi="Cambria"/>
        </w:rPr>
      </w:pPr>
    </w:p>
    <w:p w14:paraId="6F9615FE" w14:textId="77777777" w:rsidR="002F0ABA" w:rsidRDefault="002F0ABA" w:rsidP="002F0ABA">
      <w:pPr>
        <w:jc w:val="both"/>
        <w:rPr>
          <w:rFonts w:ascii="Cambria" w:hAnsi="Cambria"/>
        </w:rPr>
      </w:pPr>
      <w:r>
        <w:rPr>
          <w:rFonts w:ascii="Cambria" w:hAnsi="Cambria"/>
        </w:rPr>
        <w:t>Le schéma s’appuiera désormais sur un auto-prélèvement réalisé par le patient sous supervision d’un personnel formé et encadré par un professionnel de santé. Il permettra un rendu de résultat au patient.</w:t>
      </w:r>
    </w:p>
    <w:p w14:paraId="6BD69706" w14:textId="77777777" w:rsidR="002F0ABA" w:rsidRDefault="002F0ABA" w:rsidP="002F0ABA">
      <w:pPr>
        <w:jc w:val="both"/>
        <w:rPr>
          <w:rFonts w:ascii="Cambria" w:hAnsi="Cambria"/>
        </w:rPr>
      </w:pPr>
    </w:p>
    <w:p w14:paraId="226CB4CC" w14:textId="77777777" w:rsidR="002F0ABA" w:rsidRDefault="002F0ABA" w:rsidP="002F0ABA">
      <w:pPr>
        <w:jc w:val="both"/>
        <w:rPr>
          <w:rFonts w:ascii="Cambria" w:hAnsi="Cambria"/>
        </w:rPr>
      </w:pPr>
      <w:r>
        <w:rPr>
          <w:rFonts w:ascii="Cambria" w:hAnsi="Cambria"/>
        </w:rPr>
        <w:t xml:space="preserve">La modification faite porte également sur le fait d’étendre le dispositif de réalisation d’autotest en officine de pharmacie à l’Institut Louis </w:t>
      </w:r>
      <w:proofErr w:type="spellStart"/>
      <w:r>
        <w:rPr>
          <w:rFonts w:ascii="Cambria" w:hAnsi="Cambria"/>
        </w:rPr>
        <w:t>Malardé</w:t>
      </w:r>
      <w:proofErr w:type="spellEnd"/>
      <w:r>
        <w:rPr>
          <w:rFonts w:ascii="Cambria" w:hAnsi="Cambria"/>
        </w:rPr>
        <w:t xml:space="preserve"> sur son site de dépistage de l’aéroport pour permettre la remise d’attestation de voyage dans le cadre du </w:t>
      </w:r>
      <w:proofErr w:type="spellStart"/>
      <w:r>
        <w:rPr>
          <w:rFonts w:ascii="Cambria" w:hAnsi="Cambria"/>
        </w:rPr>
        <w:t>pass</w:t>
      </w:r>
      <w:proofErr w:type="spellEnd"/>
      <w:r>
        <w:rPr>
          <w:rFonts w:ascii="Cambria" w:hAnsi="Cambria"/>
        </w:rPr>
        <w:t xml:space="preserve"> sanitaire vers les îles.</w:t>
      </w:r>
    </w:p>
    <w:p w14:paraId="3F60B413" w14:textId="77777777" w:rsidR="002F0ABA" w:rsidRDefault="002F0ABA" w:rsidP="002F0ABA">
      <w:pPr>
        <w:jc w:val="both"/>
        <w:rPr>
          <w:rFonts w:ascii="Cambria" w:hAnsi="Cambria"/>
        </w:rPr>
      </w:pPr>
    </w:p>
    <w:p w14:paraId="7BE91F0E" w14:textId="77777777" w:rsidR="002F0ABA" w:rsidRDefault="002F0ABA" w:rsidP="002F0ABA">
      <w:pPr>
        <w:jc w:val="both"/>
        <w:rPr>
          <w:rFonts w:ascii="Cambria" w:hAnsi="Cambria"/>
        </w:rPr>
      </w:pPr>
    </w:p>
    <w:p w14:paraId="39595A57" w14:textId="77777777" w:rsidR="002F0ABA" w:rsidRDefault="002F0ABA" w:rsidP="002F0ABA">
      <w:pPr>
        <w:jc w:val="both"/>
        <w:rPr>
          <w:rFonts w:ascii="Cambria" w:hAnsi="Cambria"/>
        </w:rPr>
      </w:pPr>
    </w:p>
    <w:p w14:paraId="33EB97FE" w14:textId="77777777" w:rsidR="002F0ABA" w:rsidRDefault="002F0ABA" w:rsidP="002F0ABA">
      <w:pPr>
        <w:jc w:val="both"/>
        <w:rPr>
          <w:rFonts w:ascii="Cambria" w:hAnsi="Cambria"/>
          <w:b/>
          <w:bCs/>
        </w:rPr>
      </w:pPr>
      <w:r>
        <w:rPr>
          <w:rFonts w:ascii="Cambria" w:hAnsi="Cambria"/>
          <w:b/>
          <w:bCs/>
        </w:rPr>
        <w:t>Extension de la liste des professionnels pouvant vacciner</w:t>
      </w:r>
    </w:p>
    <w:p w14:paraId="7032C3B0" w14:textId="77777777" w:rsidR="002F0ABA" w:rsidRDefault="002F0ABA" w:rsidP="002F0ABA">
      <w:pPr>
        <w:jc w:val="both"/>
        <w:rPr>
          <w:rFonts w:ascii="Cambria" w:hAnsi="Cambria"/>
        </w:rPr>
      </w:pPr>
    </w:p>
    <w:p w14:paraId="668A1DAA" w14:textId="77777777" w:rsidR="002F0ABA" w:rsidRDefault="002F0ABA" w:rsidP="002F0ABA">
      <w:pPr>
        <w:jc w:val="both"/>
        <w:rPr>
          <w:rFonts w:ascii="Cambria" w:hAnsi="Cambria"/>
        </w:rPr>
      </w:pPr>
      <w:r>
        <w:rPr>
          <w:rFonts w:ascii="Cambria" w:hAnsi="Cambria"/>
        </w:rPr>
        <w:t>L’arrêté du Conseil des ministres du 29 décembre 2020 encadre les modalités de réalisation de la campagne vaccinale contre la Covid-19, notamment les professionnels pouvant réaliser la vaccination.</w:t>
      </w:r>
    </w:p>
    <w:p w14:paraId="5BA0DDCB" w14:textId="77777777" w:rsidR="002F0ABA" w:rsidRDefault="002F0ABA" w:rsidP="002F0ABA">
      <w:pPr>
        <w:jc w:val="both"/>
        <w:rPr>
          <w:rFonts w:ascii="Cambria" w:hAnsi="Cambria"/>
        </w:rPr>
      </w:pPr>
    </w:p>
    <w:p w14:paraId="4569A92F" w14:textId="77777777" w:rsidR="002F0ABA" w:rsidRDefault="002F0ABA" w:rsidP="002F0ABA">
      <w:pPr>
        <w:jc w:val="both"/>
        <w:rPr>
          <w:rFonts w:ascii="Cambria" w:hAnsi="Cambria"/>
        </w:rPr>
      </w:pPr>
      <w:r>
        <w:rPr>
          <w:rFonts w:ascii="Cambria" w:hAnsi="Cambria"/>
        </w:rPr>
        <w:t xml:space="preserve">Les médecins, les sages-femmes, les pharmaciens et les infirmiers étaient, jusqu’à présent, les seuls professionnels de santé cités pour pouvoir participer à la campagne de vaccination contre la Covid-19. </w:t>
      </w:r>
    </w:p>
    <w:p w14:paraId="018C5442" w14:textId="77777777" w:rsidR="002F0ABA" w:rsidRDefault="002F0ABA" w:rsidP="002F0ABA">
      <w:pPr>
        <w:jc w:val="both"/>
        <w:rPr>
          <w:rFonts w:ascii="Cambria" w:hAnsi="Cambria"/>
        </w:rPr>
      </w:pPr>
      <w:proofErr w:type="gramStart"/>
      <w:r>
        <w:rPr>
          <w:rFonts w:ascii="Cambria" w:hAnsi="Cambria"/>
        </w:rPr>
        <w:t>Suite à</w:t>
      </w:r>
      <w:proofErr w:type="gramEnd"/>
      <w:r>
        <w:rPr>
          <w:rFonts w:ascii="Cambria" w:hAnsi="Cambria"/>
        </w:rPr>
        <w:t xml:space="preserve"> la loi du pays n° 2021-37 du 23 août 2021 relative à la vaccination obligatoire dans le cadre de la gestion de la crise sanitaire liée à la Covid-19, une partie importante de la population va être soumise à obligation vaccinale contre la Covid-19 dans le délai qui lui a été imparti soit 2 mois.</w:t>
      </w:r>
    </w:p>
    <w:p w14:paraId="7F8915D4" w14:textId="77777777" w:rsidR="002F0ABA" w:rsidRDefault="002F0ABA" w:rsidP="002F0ABA">
      <w:pPr>
        <w:jc w:val="both"/>
        <w:rPr>
          <w:rFonts w:ascii="Cambria" w:hAnsi="Cambria"/>
        </w:rPr>
      </w:pPr>
    </w:p>
    <w:p w14:paraId="49176C83" w14:textId="77777777" w:rsidR="002F0ABA" w:rsidRDefault="002F0ABA" w:rsidP="002F0ABA">
      <w:pPr>
        <w:jc w:val="both"/>
        <w:rPr>
          <w:rFonts w:ascii="Cambria" w:hAnsi="Cambria"/>
        </w:rPr>
      </w:pPr>
      <w:r>
        <w:rPr>
          <w:rFonts w:ascii="Cambria" w:hAnsi="Cambria"/>
        </w:rPr>
        <w:t xml:space="preserve">Afin de pouvoir répondre aux demandes qui vont découler de cette obligation vaccinale, le Pays doit se doter des moyens pour répondre à la demande. Des </w:t>
      </w:r>
      <w:proofErr w:type="spellStart"/>
      <w:r>
        <w:rPr>
          <w:rFonts w:ascii="Cambria" w:hAnsi="Cambria"/>
        </w:rPr>
        <w:t>vaccinodromes</w:t>
      </w:r>
      <w:proofErr w:type="spellEnd"/>
      <w:r>
        <w:rPr>
          <w:rFonts w:ascii="Cambria" w:hAnsi="Cambria"/>
        </w:rPr>
        <w:t xml:space="preserve"> sont </w:t>
      </w:r>
      <w:r>
        <w:rPr>
          <w:rFonts w:ascii="Cambria" w:hAnsi="Cambria"/>
        </w:rPr>
        <w:lastRenderedPageBreak/>
        <w:t>organisés à cet effet avec des horaires élargies. Il convient de disposer de suffisamment de personnel pour vacciner la population attendue.</w:t>
      </w:r>
    </w:p>
    <w:p w14:paraId="22AAC4C5" w14:textId="77777777" w:rsidR="002F0ABA" w:rsidRDefault="002F0ABA" w:rsidP="002F0ABA">
      <w:pPr>
        <w:jc w:val="both"/>
        <w:rPr>
          <w:rFonts w:ascii="Cambria" w:hAnsi="Cambria"/>
        </w:rPr>
      </w:pPr>
    </w:p>
    <w:p w14:paraId="0C4B719E" w14:textId="77777777" w:rsidR="002F0ABA" w:rsidRDefault="002F0ABA" w:rsidP="002F0ABA">
      <w:pPr>
        <w:jc w:val="both"/>
        <w:rPr>
          <w:rFonts w:ascii="Cambria" w:hAnsi="Cambria"/>
        </w:rPr>
      </w:pPr>
      <w:r>
        <w:rPr>
          <w:rFonts w:ascii="Cambria" w:hAnsi="Cambria"/>
        </w:rPr>
        <w:t xml:space="preserve">Il a été décidé d’ajouter la possibilité pour les professionnels suivants, formés si besoin  par la direction de la santé à l’acte, de pouvoir vacciner : vétérinaire, sapeur-pompier professionnel ou volontaire, manipulateur d'électroradiologie médicale technicien de laboratoire, préparateurs en pharmacie, détenteurs de la formation premiers secours en équipe de niveau 2 (PSE2),  physiciens médicaux, aides-soignants, auxiliaires de puériculture diplômés d'Etat, ambulanciers, masseurs kinésithérapeutes, pédicures podologues, ergothérapeutes diplômés d'Etat, psychomotriciens diplômés d'Etat, orthophonistes, orthoptistes, audioprothésistes diplômés d'Etat, diététiciens, opticiens-lunetiers, orthoprothésistes, podo-orthésistes, ocularistes, épithésistes et orthopédistes-orthésistes, assistants dentaires et les étudiants en santé suivants : étudiants à partir du deuxième cycle des formations en médecine, en pharmacie et en maïeutique ; étudiants en soins infirmiers ayant validé à minima leur première année de formation ; étudiants de deuxième et troisième cycles en odontologie,  étudiants à partir du premier cycle de la formation en médecine et en maïeutique à partir de la deuxième année ayant effectué leur stage infirmier ; étudiants en </w:t>
      </w:r>
      <w:proofErr w:type="spellStart"/>
      <w:r>
        <w:rPr>
          <w:rFonts w:ascii="Cambria" w:hAnsi="Cambria"/>
        </w:rPr>
        <w:t>masso</w:t>
      </w:r>
      <w:proofErr w:type="spellEnd"/>
      <w:r>
        <w:rPr>
          <w:rFonts w:ascii="Cambria" w:hAnsi="Cambria"/>
        </w:rPr>
        <w:t>-kinésithérapie ayant à minima validé leur deuxième année de formation.</w:t>
      </w:r>
    </w:p>
    <w:p w14:paraId="455268C7" w14:textId="77777777" w:rsidR="002F0ABA" w:rsidRDefault="002F0ABA" w:rsidP="002F0ABA">
      <w:pPr>
        <w:jc w:val="both"/>
        <w:rPr>
          <w:rFonts w:ascii="Cambria" w:hAnsi="Cambria"/>
        </w:rPr>
      </w:pPr>
    </w:p>
    <w:p w14:paraId="058A84D8" w14:textId="77777777" w:rsidR="002F0ABA" w:rsidRDefault="002F0ABA" w:rsidP="002F0ABA">
      <w:pPr>
        <w:jc w:val="both"/>
        <w:rPr>
          <w:rFonts w:ascii="Cambria" w:hAnsi="Cambria"/>
        </w:rPr>
      </w:pPr>
    </w:p>
    <w:p w14:paraId="2E17112F" w14:textId="77777777" w:rsidR="002F0ABA" w:rsidRDefault="002F0ABA" w:rsidP="002F0ABA">
      <w:pPr>
        <w:jc w:val="both"/>
        <w:rPr>
          <w:rFonts w:ascii="Cambria" w:hAnsi="Cambria"/>
        </w:rPr>
      </w:pPr>
    </w:p>
    <w:p w14:paraId="45FB1330" w14:textId="77777777" w:rsidR="002F0ABA" w:rsidRDefault="002F0ABA" w:rsidP="002F0ABA">
      <w:pPr>
        <w:jc w:val="both"/>
        <w:rPr>
          <w:rFonts w:ascii="Cambria" w:hAnsi="Cambria"/>
          <w:b/>
          <w:bCs/>
        </w:rPr>
      </w:pPr>
      <w:r>
        <w:rPr>
          <w:rFonts w:ascii="Cambria" w:hAnsi="Cambria"/>
          <w:b/>
          <w:bCs/>
        </w:rPr>
        <w:t>Mise en application de l’obligation vaccinale contre la Covid-19</w:t>
      </w:r>
    </w:p>
    <w:p w14:paraId="4C1BED7B" w14:textId="77777777" w:rsidR="002F0ABA" w:rsidRDefault="002F0ABA" w:rsidP="002F0ABA">
      <w:pPr>
        <w:jc w:val="both"/>
        <w:rPr>
          <w:rFonts w:ascii="Cambria" w:hAnsi="Cambria"/>
        </w:rPr>
      </w:pPr>
    </w:p>
    <w:p w14:paraId="667267BD" w14:textId="77777777" w:rsidR="002F0ABA" w:rsidRDefault="002F0ABA" w:rsidP="002F0ABA">
      <w:pPr>
        <w:jc w:val="both"/>
        <w:rPr>
          <w:rFonts w:ascii="Cambria" w:hAnsi="Cambria"/>
        </w:rPr>
      </w:pPr>
      <w:r>
        <w:rPr>
          <w:rFonts w:ascii="Cambria" w:hAnsi="Cambria"/>
        </w:rPr>
        <w:t>L’Assemblée de la Polynésie française a récemment voté l’obligation vaccinale contre la Covid-19 pour plusieurs types de population. Il revient au Conseil des ministres de fixer avec précisions les secteurs d’activité, les lieux d’exercice, les personnes ou les professions concernés par cette obligation vaccinale.</w:t>
      </w:r>
    </w:p>
    <w:p w14:paraId="4E02B89E" w14:textId="77777777" w:rsidR="002F0ABA" w:rsidRDefault="002F0ABA" w:rsidP="002F0ABA">
      <w:pPr>
        <w:jc w:val="both"/>
        <w:rPr>
          <w:rFonts w:ascii="Cambria" w:hAnsi="Cambria"/>
        </w:rPr>
      </w:pPr>
    </w:p>
    <w:p w14:paraId="59716202" w14:textId="77777777" w:rsidR="002F0ABA" w:rsidRDefault="002F0ABA" w:rsidP="002F0ABA">
      <w:pPr>
        <w:jc w:val="both"/>
        <w:rPr>
          <w:rFonts w:ascii="Cambria" w:hAnsi="Cambria"/>
        </w:rPr>
      </w:pPr>
      <w:r>
        <w:rPr>
          <w:rFonts w:ascii="Cambria" w:hAnsi="Cambria"/>
        </w:rPr>
        <w:t>L’arrêté pris en Conseil des ministres fixe la liste des personnes concernées par l’obligation vaccinale en raison de leur activité ou leur profession.</w:t>
      </w:r>
    </w:p>
    <w:p w14:paraId="6DC9D40B" w14:textId="77777777" w:rsidR="002F0ABA" w:rsidRDefault="002F0ABA" w:rsidP="002F0ABA">
      <w:pPr>
        <w:jc w:val="both"/>
        <w:rPr>
          <w:rFonts w:ascii="Cambria" w:hAnsi="Cambria"/>
        </w:rPr>
      </w:pPr>
    </w:p>
    <w:p w14:paraId="72D8AAB8" w14:textId="77777777" w:rsidR="002F0ABA" w:rsidRDefault="002F0ABA" w:rsidP="002F0ABA">
      <w:pPr>
        <w:jc w:val="both"/>
        <w:rPr>
          <w:rFonts w:ascii="Cambria" w:hAnsi="Cambria"/>
        </w:rPr>
      </w:pPr>
      <w:r>
        <w:rPr>
          <w:rFonts w:ascii="Cambria" w:hAnsi="Cambria"/>
        </w:rPr>
        <w:t>L’arrêté fixe également la liste des infections concernées et obligeant à la vaccination contre la Covid-19 en raison de leur état de santé.</w:t>
      </w:r>
    </w:p>
    <w:p w14:paraId="7D1A5771" w14:textId="77777777" w:rsidR="002F0ABA" w:rsidRDefault="002F0ABA" w:rsidP="002F0ABA">
      <w:pPr>
        <w:jc w:val="both"/>
        <w:rPr>
          <w:rFonts w:ascii="Cambria" w:hAnsi="Cambria"/>
        </w:rPr>
      </w:pPr>
    </w:p>
    <w:p w14:paraId="76997AF7" w14:textId="2AECEFBB" w:rsidR="002F0ABA" w:rsidRDefault="002F0ABA" w:rsidP="002F0ABA">
      <w:pPr>
        <w:jc w:val="both"/>
        <w:rPr>
          <w:rFonts w:ascii="Cambria" w:hAnsi="Cambria"/>
        </w:rPr>
      </w:pPr>
      <w:r>
        <w:rPr>
          <w:rFonts w:ascii="Cambria" w:hAnsi="Cambria"/>
        </w:rPr>
        <w:t xml:space="preserve">En cas de non-respect de l’obligation vaccinale dans un délai de deux mois, il a été acté que ces personnes devront s’acquitter d’une majoration de 20 points du ticket modérateur pour toute dépense liée aux actes, prescriptions et prestations dispensés, y compris en cas d’hospitalisation. </w:t>
      </w:r>
    </w:p>
    <w:p w14:paraId="790F4BBD" w14:textId="77777777" w:rsidR="002F0ABA" w:rsidRDefault="002F0ABA" w:rsidP="002F0ABA">
      <w:pPr>
        <w:jc w:val="both"/>
        <w:rPr>
          <w:rFonts w:ascii="Cambria" w:hAnsi="Cambria"/>
        </w:rPr>
      </w:pPr>
    </w:p>
    <w:p w14:paraId="5AD99528" w14:textId="77777777" w:rsidR="002F0ABA" w:rsidRDefault="002F0ABA" w:rsidP="002F0ABA">
      <w:pPr>
        <w:jc w:val="both"/>
        <w:rPr>
          <w:rFonts w:ascii="Cambria" w:hAnsi="Cambria"/>
        </w:rPr>
      </w:pPr>
      <w:r>
        <w:rPr>
          <w:rFonts w:ascii="Cambria" w:hAnsi="Cambria"/>
        </w:rPr>
        <w:t xml:space="preserve">Afin de faciliter la possibilité de recourir à cette vaccination, plusieurs </w:t>
      </w:r>
      <w:proofErr w:type="spellStart"/>
      <w:r>
        <w:rPr>
          <w:rFonts w:ascii="Cambria" w:hAnsi="Cambria"/>
        </w:rPr>
        <w:t>vaccinodromes</w:t>
      </w:r>
      <w:proofErr w:type="spellEnd"/>
      <w:r>
        <w:rPr>
          <w:rFonts w:ascii="Cambria" w:hAnsi="Cambria"/>
        </w:rPr>
        <w:t xml:space="preserve"> éphémères fonctionnent désormais en semaine, en plus des centres ouverts dans les structures de santé publique. De plus une équipe mobile se déplace pour vacciner sur sites dès lors où les candidats à la vaccination sont en nombre suffisant ou sont dans l’impossibilité de se déplacer.</w:t>
      </w:r>
    </w:p>
    <w:p w14:paraId="683C1757" w14:textId="77777777" w:rsidR="002F0ABA" w:rsidRDefault="002F0ABA" w:rsidP="002F0ABA">
      <w:pPr>
        <w:jc w:val="both"/>
        <w:rPr>
          <w:rFonts w:ascii="Cambria" w:hAnsi="Cambria"/>
        </w:rPr>
      </w:pPr>
    </w:p>
    <w:p w14:paraId="63DD6805" w14:textId="77777777" w:rsidR="002F0ABA" w:rsidRDefault="002F0ABA" w:rsidP="00302594">
      <w:pPr>
        <w:spacing w:after="120"/>
        <w:jc w:val="both"/>
        <w:rPr>
          <w:rFonts w:ascii="Cambria" w:hAnsi="Cambria"/>
          <w:sz w:val="22"/>
        </w:rPr>
      </w:pPr>
    </w:p>
    <w:p w14:paraId="3EE02BEA" w14:textId="77777777" w:rsidR="007C393B" w:rsidRPr="007C393B" w:rsidRDefault="007C393B" w:rsidP="007C393B">
      <w:pPr>
        <w:spacing w:before="100" w:beforeAutospacing="1" w:after="100" w:afterAutospacing="1"/>
        <w:jc w:val="both"/>
        <w:rPr>
          <w:rFonts w:ascii="Cambria" w:hAnsi="Cambria"/>
          <w:lang w:eastAsia="fr-FR"/>
        </w:rPr>
      </w:pPr>
      <w:r w:rsidRPr="007C393B">
        <w:rPr>
          <w:rFonts w:ascii="Cambria" w:hAnsi="Cambria"/>
          <w:b/>
          <w:bCs/>
          <w:lang w:eastAsia="fr-FR"/>
        </w:rPr>
        <w:lastRenderedPageBreak/>
        <w:t>Subvention de fonctionnement en faveur de l'Association des résidents du campus (ARC) pour financer l'organisation du projet intitulé "Mois du patrimoine"</w:t>
      </w:r>
    </w:p>
    <w:p w14:paraId="3901770B" w14:textId="77777777" w:rsidR="007C393B" w:rsidRPr="007C393B" w:rsidRDefault="007C393B" w:rsidP="007C393B">
      <w:pPr>
        <w:spacing w:before="100" w:beforeAutospacing="1" w:after="100" w:afterAutospacing="1"/>
        <w:jc w:val="both"/>
        <w:rPr>
          <w:rFonts w:ascii="Cambria" w:hAnsi="Cambria"/>
          <w:lang w:eastAsia="fr-FR"/>
        </w:rPr>
      </w:pPr>
      <w:r w:rsidRPr="007C393B">
        <w:rPr>
          <w:rFonts w:ascii="Cambria" w:hAnsi="Cambria"/>
          <w:lang w:eastAsia="fr-FR"/>
        </w:rPr>
        <w:t xml:space="preserve">Le Conseil des ministres a octroyé une subvention de fonctionnement en faveur de l'Association des résidents du campus (ARC) d’un montant de 233 180 </w:t>
      </w:r>
      <w:proofErr w:type="spellStart"/>
      <w:r w:rsidRPr="007C393B">
        <w:rPr>
          <w:rFonts w:ascii="Cambria" w:hAnsi="Cambria"/>
          <w:lang w:eastAsia="fr-FR"/>
        </w:rPr>
        <w:t>Fcfp</w:t>
      </w:r>
      <w:proofErr w:type="spellEnd"/>
      <w:r w:rsidRPr="007C393B">
        <w:rPr>
          <w:rFonts w:ascii="Cambria" w:hAnsi="Cambria"/>
          <w:lang w:eastAsia="fr-FR"/>
        </w:rPr>
        <w:t xml:space="preserve"> pour financer l'organisation du projet intitulé "Mois du patrimoine".</w:t>
      </w:r>
    </w:p>
    <w:p w14:paraId="0840A76F" w14:textId="77777777" w:rsidR="007C393B" w:rsidRPr="007C393B" w:rsidRDefault="007C393B" w:rsidP="007C393B">
      <w:pPr>
        <w:spacing w:before="100" w:beforeAutospacing="1" w:after="100" w:afterAutospacing="1"/>
        <w:jc w:val="both"/>
        <w:rPr>
          <w:rFonts w:ascii="Cambria" w:hAnsi="Cambria"/>
          <w:lang w:eastAsia="fr-FR"/>
        </w:rPr>
      </w:pPr>
      <w:r w:rsidRPr="007C393B">
        <w:rPr>
          <w:rFonts w:ascii="Cambria" w:hAnsi="Cambria"/>
          <w:lang w:eastAsia="fr-FR"/>
        </w:rPr>
        <w:t>Ce projet est mis en place afin de proposer aux résidents du campus, sur une période d’un mois, des ateliers liés à la valorisation de la culture des archipels : tressage de paniers, confection de colliers, légendes théâtralisées, cours de langues, confection du « </w:t>
      </w:r>
      <w:proofErr w:type="spellStart"/>
      <w:r w:rsidRPr="007C393B">
        <w:rPr>
          <w:rFonts w:ascii="Cambria" w:hAnsi="Cambria"/>
          <w:lang w:eastAsia="fr-FR"/>
        </w:rPr>
        <w:t>umu</w:t>
      </w:r>
      <w:proofErr w:type="spellEnd"/>
      <w:r w:rsidRPr="007C393B">
        <w:rPr>
          <w:rFonts w:ascii="Cambria" w:hAnsi="Cambria"/>
          <w:lang w:eastAsia="fr-FR"/>
        </w:rPr>
        <w:t xml:space="preserve"> </w:t>
      </w:r>
      <w:proofErr w:type="spellStart"/>
      <w:r w:rsidRPr="007C393B">
        <w:rPr>
          <w:rFonts w:ascii="Cambria" w:hAnsi="Cambria"/>
          <w:lang w:eastAsia="fr-FR"/>
        </w:rPr>
        <w:t>hei</w:t>
      </w:r>
      <w:proofErr w:type="spellEnd"/>
      <w:r w:rsidRPr="007C393B">
        <w:rPr>
          <w:rFonts w:ascii="Cambria" w:hAnsi="Cambria"/>
          <w:lang w:eastAsia="fr-FR"/>
        </w:rPr>
        <w:t> », etc.</w:t>
      </w:r>
    </w:p>
    <w:p w14:paraId="3363F6E9" w14:textId="77777777" w:rsidR="007C393B" w:rsidRPr="007C393B" w:rsidRDefault="007C393B" w:rsidP="007C393B">
      <w:pPr>
        <w:spacing w:before="100" w:beforeAutospacing="1" w:after="100" w:afterAutospacing="1"/>
        <w:jc w:val="both"/>
        <w:rPr>
          <w:rFonts w:ascii="Cambria" w:hAnsi="Cambria"/>
          <w:lang w:eastAsia="fr-FR"/>
        </w:rPr>
      </w:pPr>
      <w:r w:rsidRPr="007C393B">
        <w:rPr>
          <w:rFonts w:ascii="Cambria" w:hAnsi="Cambria"/>
          <w:lang w:eastAsia="fr-FR"/>
        </w:rPr>
        <w:t>L’ARC a comme objectif d’améliorer la vie des étudiants du campus par des actions culturelles, sportives et sociales, de créer des projets innovants répondant aux besoins des résidents, et d’assurer le bon fonctionnement de la résidence universitaire et le bien-être de ses résidents.</w:t>
      </w:r>
    </w:p>
    <w:p w14:paraId="1D041B38" w14:textId="77777777" w:rsidR="007C393B" w:rsidRPr="007C393B" w:rsidRDefault="007C393B" w:rsidP="007C393B">
      <w:pPr>
        <w:spacing w:before="100" w:beforeAutospacing="1" w:after="100" w:afterAutospacing="1"/>
        <w:jc w:val="both"/>
        <w:rPr>
          <w:rFonts w:ascii="Cambria" w:hAnsi="Cambria"/>
          <w:lang w:eastAsia="fr-FR"/>
        </w:rPr>
      </w:pPr>
      <w:r w:rsidRPr="007C393B">
        <w:rPr>
          <w:rFonts w:ascii="Cambria" w:hAnsi="Cambria"/>
          <w:lang w:eastAsia="fr-FR"/>
        </w:rPr>
        <w:t> </w:t>
      </w:r>
    </w:p>
    <w:p w14:paraId="4194ED43" w14:textId="0B7E1BC4" w:rsidR="007C393B" w:rsidRPr="007C393B" w:rsidRDefault="007C393B" w:rsidP="007C393B">
      <w:pPr>
        <w:spacing w:before="100" w:beforeAutospacing="1" w:after="100" w:afterAutospacing="1"/>
        <w:jc w:val="both"/>
        <w:rPr>
          <w:rFonts w:ascii="Cambria" w:hAnsi="Cambria"/>
          <w:lang w:eastAsia="fr-FR"/>
        </w:rPr>
      </w:pPr>
      <w:r w:rsidRPr="007C393B">
        <w:rPr>
          <w:rFonts w:ascii="Cambria" w:hAnsi="Cambria"/>
          <w:b/>
          <w:bCs/>
          <w:lang w:eastAsia="fr-FR"/>
        </w:rPr>
        <w:t>Subvention de fonctionnement en faveur de l’Association des éditeurs de T</w:t>
      </w:r>
      <w:r w:rsidR="00930BDF">
        <w:rPr>
          <w:rFonts w:ascii="Cambria" w:hAnsi="Cambria"/>
          <w:b/>
          <w:bCs/>
          <w:lang w:eastAsia="fr-FR"/>
        </w:rPr>
        <w:t xml:space="preserve">ahiti </w:t>
      </w:r>
      <w:r w:rsidRPr="007C393B">
        <w:rPr>
          <w:rFonts w:ascii="Cambria" w:hAnsi="Cambria"/>
          <w:b/>
          <w:bCs/>
          <w:lang w:eastAsia="fr-FR"/>
        </w:rPr>
        <w:t>et des îles (AETI)</w:t>
      </w:r>
    </w:p>
    <w:p w14:paraId="095F0CD8" w14:textId="77777777" w:rsidR="007C393B" w:rsidRPr="007C393B" w:rsidRDefault="007C393B" w:rsidP="007C393B">
      <w:pPr>
        <w:spacing w:before="100" w:beforeAutospacing="1" w:after="100" w:afterAutospacing="1"/>
        <w:jc w:val="both"/>
        <w:rPr>
          <w:rFonts w:ascii="Cambria" w:hAnsi="Cambria"/>
          <w:lang w:eastAsia="fr-FR"/>
        </w:rPr>
      </w:pPr>
      <w:r w:rsidRPr="007C393B">
        <w:rPr>
          <w:rFonts w:ascii="Cambria" w:hAnsi="Cambria"/>
          <w:lang w:eastAsia="fr-FR"/>
        </w:rPr>
        <w:t xml:space="preserve">Le Conseil des ministres a octroyé une subvention de fonctionnement en faveur de l'Association des éditeurs de Tahiti et des îles (AETI) d’un montant de 750 000 </w:t>
      </w:r>
      <w:proofErr w:type="spellStart"/>
      <w:r w:rsidRPr="007C393B">
        <w:rPr>
          <w:rFonts w:ascii="Cambria" w:hAnsi="Cambria"/>
          <w:lang w:eastAsia="fr-FR"/>
        </w:rPr>
        <w:t>Fcfp</w:t>
      </w:r>
      <w:proofErr w:type="spellEnd"/>
      <w:r w:rsidRPr="007C393B">
        <w:rPr>
          <w:rFonts w:ascii="Cambria" w:hAnsi="Cambria"/>
          <w:lang w:eastAsia="fr-FR"/>
        </w:rPr>
        <w:t>, pour financer un programme d'actions pour la promotion de la lecture, la littérature et l'écriture aussi appelé « résidence d’écriture ».</w:t>
      </w:r>
    </w:p>
    <w:p w14:paraId="1E7C645B" w14:textId="77777777" w:rsidR="007C393B" w:rsidRPr="007C393B" w:rsidRDefault="007C393B" w:rsidP="007C393B">
      <w:pPr>
        <w:spacing w:before="100" w:beforeAutospacing="1" w:after="100" w:afterAutospacing="1"/>
        <w:jc w:val="both"/>
        <w:rPr>
          <w:rFonts w:ascii="Cambria" w:hAnsi="Cambria"/>
          <w:lang w:eastAsia="fr-FR"/>
        </w:rPr>
      </w:pPr>
      <w:r w:rsidRPr="007C393B">
        <w:rPr>
          <w:rFonts w:ascii="Cambria" w:hAnsi="Cambria"/>
          <w:lang w:eastAsia="fr-FR"/>
        </w:rPr>
        <w:t>L'association est engagée depuis plus de 20 ans à la valorisation de la littérature en Polynésie française au travers de nombreux projets, tel que des animations ou des salons. Aujourd’hui, elle souhaite aller plus loin en créant une « résidence d’écriture ».</w:t>
      </w:r>
    </w:p>
    <w:p w14:paraId="2522BF24" w14:textId="63FA18F9" w:rsidR="007C393B" w:rsidRDefault="007C393B" w:rsidP="007C393B">
      <w:pPr>
        <w:spacing w:before="100" w:beforeAutospacing="1" w:after="100" w:afterAutospacing="1"/>
        <w:jc w:val="both"/>
        <w:rPr>
          <w:rFonts w:ascii="Cambria" w:hAnsi="Cambria"/>
          <w:lang w:eastAsia="fr-FR"/>
        </w:rPr>
      </w:pPr>
      <w:r w:rsidRPr="007C393B">
        <w:rPr>
          <w:rFonts w:ascii="Cambria" w:hAnsi="Cambria"/>
          <w:lang w:eastAsia="fr-FR"/>
        </w:rPr>
        <w:t>Dispositif connu et développé en Europe, il permet à des auteurs de bénéficier de moyens matériels et d’un endroit propice à l’écriture. Ceci permet donc de soutenir la création d’œuvres littéraires, tout en valorisant une culture. Ainsi pour sa première édition, et dans une dynamique de valoriser la littérature polynésienne et océanienne, l’association souhaite créer ce dispositif afin d’en faire profiter deux auteurs : un polynésien et un venant d’Océanie, pour une durée de deux mois. Les lauréats s’engageront à participer à un programme d’échanges pédagogiques autour de la littérature au travers de rencontres scolaires, d’ateliers pédagogiques.</w:t>
      </w:r>
    </w:p>
    <w:p w14:paraId="0C9CF52E" w14:textId="12C39333" w:rsidR="00EE6D3F" w:rsidRDefault="00EE6D3F" w:rsidP="007C393B">
      <w:pPr>
        <w:spacing w:before="100" w:beforeAutospacing="1" w:after="100" w:afterAutospacing="1"/>
        <w:jc w:val="both"/>
        <w:rPr>
          <w:rFonts w:ascii="Cambria" w:hAnsi="Cambria"/>
          <w:lang w:eastAsia="fr-FR"/>
        </w:rPr>
      </w:pPr>
    </w:p>
    <w:p w14:paraId="67C0F96A" w14:textId="77777777" w:rsidR="00803AC4" w:rsidRPr="00803AC4" w:rsidRDefault="00803AC4" w:rsidP="00803AC4">
      <w:pPr>
        <w:spacing w:before="100" w:beforeAutospacing="1" w:after="100" w:afterAutospacing="1"/>
        <w:jc w:val="both"/>
        <w:rPr>
          <w:rFonts w:ascii="Cambria" w:hAnsi="Cambria"/>
          <w:lang w:eastAsia="fr-FR"/>
        </w:rPr>
      </w:pPr>
      <w:r w:rsidRPr="00803AC4">
        <w:rPr>
          <w:rFonts w:ascii="Cambria" w:hAnsi="Cambria"/>
          <w:b/>
          <w:bCs/>
          <w:lang w:eastAsia="fr-FR"/>
        </w:rPr>
        <w:t>Autorisation d’exploitation d’une carrière d’agrégats pour la société Tahiti Agrégats</w:t>
      </w:r>
    </w:p>
    <w:p w14:paraId="712D51DD" w14:textId="77777777" w:rsidR="00803AC4" w:rsidRPr="00803AC4" w:rsidRDefault="00803AC4" w:rsidP="00803AC4">
      <w:pPr>
        <w:spacing w:before="100" w:beforeAutospacing="1" w:after="100" w:afterAutospacing="1"/>
        <w:jc w:val="both"/>
        <w:rPr>
          <w:rFonts w:ascii="Cambria" w:hAnsi="Cambria"/>
          <w:lang w:eastAsia="fr-FR"/>
        </w:rPr>
      </w:pPr>
      <w:r w:rsidRPr="00803AC4">
        <w:rPr>
          <w:rFonts w:ascii="Cambria" w:hAnsi="Cambria"/>
          <w:lang w:eastAsia="fr-FR"/>
        </w:rPr>
        <w:t>Le Conseil des ministres a pris un arrêté autorisant l’exploitation d’une carrière d’agrégats pour la société Tahiti Agrégats dans la vallée de la Punaruu, à Punaauia.</w:t>
      </w:r>
    </w:p>
    <w:p w14:paraId="72AA7CE0" w14:textId="77777777" w:rsidR="00803AC4" w:rsidRPr="00803AC4" w:rsidRDefault="00803AC4" w:rsidP="00803AC4">
      <w:pPr>
        <w:spacing w:before="100" w:beforeAutospacing="1" w:after="100" w:afterAutospacing="1"/>
        <w:jc w:val="both"/>
        <w:rPr>
          <w:rFonts w:ascii="Cambria" w:hAnsi="Cambria"/>
          <w:lang w:eastAsia="fr-FR"/>
        </w:rPr>
      </w:pPr>
      <w:r w:rsidRPr="00803AC4">
        <w:rPr>
          <w:rFonts w:ascii="Cambria" w:hAnsi="Cambria"/>
          <w:lang w:eastAsia="fr-FR"/>
        </w:rPr>
        <w:lastRenderedPageBreak/>
        <w:t>Conformément à la réglementation en vigueur, une étude d’impact sur l’environnement a été réalisée par un bureau d’études. Les recommandations suivantes notamment doivent être respectées : veiller à assurer la stabilité des terrassements avec une gestion maîtrisée des ruissellements d’eau et des ouvrages hydrauliques correctement dimensionnés.</w:t>
      </w:r>
    </w:p>
    <w:p w14:paraId="73F2DA0D" w14:textId="1E7A9444" w:rsidR="00803AC4" w:rsidRPr="007C393B" w:rsidRDefault="00803AC4" w:rsidP="007C393B">
      <w:pPr>
        <w:spacing w:before="100" w:beforeAutospacing="1" w:after="100" w:afterAutospacing="1"/>
        <w:jc w:val="both"/>
        <w:rPr>
          <w:rFonts w:ascii="Cambria" w:hAnsi="Cambria"/>
          <w:lang w:eastAsia="fr-FR"/>
        </w:rPr>
      </w:pPr>
    </w:p>
    <w:p w14:paraId="78E0A985" w14:textId="643CE110" w:rsidR="00B97C80" w:rsidRPr="00964474" w:rsidRDefault="00625270" w:rsidP="000A19DF">
      <w:pPr>
        <w:jc w:val="center"/>
        <w:rPr>
          <w:rFonts w:ascii="Cambria" w:hAnsi="Cambria" w:cs="Century Schoolbook"/>
        </w:rPr>
      </w:pPr>
      <w:r w:rsidRPr="00964474">
        <w:rPr>
          <w:rFonts w:ascii="Cambria" w:hAnsi="Cambria" w:cs="Century Schoolbook"/>
        </w:rPr>
        <w:t>-o-o-o-o-o-</w:t>
      </w:r>
    </w:p>
    <w:sectPr w:rsidR="00B97C80" w:rsidRPr="0096447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F7E61"/>
    <w:multiLevelType w:val="multilevel"/>
    <w:tmpl w:val="6362445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0C066462"/>
    <w:multiLevelType w:val="hybridMultilevel"/>
    <w:tmpl w:val="9D1CAD8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11786ED1"/>
    <w:multiLevelType w:val="hybridMultilevel"/>
    <w:tmpl w:val="5314B1BE"/>
    <w:lvl w:ilvl="0" w:tplc="06EE2B24">
      <w:start w:val="1"/>
      <w:numFmt w:val="bullet"/>
      <w:lvlText w:val="-"/>
      <w:lvlJc w:val="left"/>
      <w:pPr>
        <w:ind w:left="1068" w:hanging="360"/>
      </w:pPr>
      <w:rPr>
        <w:rFonts w:ascii="Cambria" w:hAnsi="Cambria"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 w15:restartNumberingAfterBreak="0">
    <w:nsid w:val="199B0016"/>
    <w:multiLevelType w:val="multilevel"/>
    <w:tmpl w:val="EFCCF102"/>
    <w:lvl w:ilvl="0">
      <w:start w:val="1"/>
      <w:numFmt w:val="bullet"/>
      <w:lvlText w:val=""/>
      <w:lvlJc w:val="left"/>
      <w:pPr>
        <w:tabs>
          <w:tab w:val="num" w:pos="148"/>
        </w:tabs>
        <w:ind w:left="148" w:hanging="360"/>
      </w:pPr>
      <w:rPr>
        <w:rFonts w:ascii="Symbol" w:hAnsi="Symbol" w:hint="default"/>
        <w:sz w:val="20"/>
      </w:rPr>
    </w:lvl>
    <w:lvl w:ilvl="1">
      <w:start w:val="1"/>
      <w:numFmt w:val="bullet"/>
      <w:lvlText w:val=""/>
      <w:lvlJc w:val="left"/>
      <w:pPr>
        <w:tabs>
          <w:tab w:val="num" w:pos="868"/>
        </w:tabs>
        <w:ind w:left="868" w:hanging="360"/>
      </w:pPr>
      <w:rPr>
        <w:rFonts w:ascii="Symbol" w:hAnsi="Symbol" w:hint="default"/>
        <w:sz w:val="20"/>
      </w:rPr>
    </w:lvl>
    <w:lvl w:ilvl="2">
      <w:start w:val="1"/>
      <w:numFmt w:val="bullet"/>
      <w:lvlText w:val=""/>
      <w:lvlJc w:val="left"/>
      <w:pPr>
        <w:tabs>
          <w:tab w:val="num" w:pos="1588"/>
        </w:tabs>
        <w:ind w:left="1588" w:hanging="360"/>
      </w:pPr>
      <w:rPr>
        <w:rFonts w:ascii="Symbol" w:hAnsi="Symbol" w:hint="default"/>
        <w:sz w:val="20"/>
      </w:rPr>
    </w:lvl>
    <w:lvl w:ilvl="3">
      <w:start w:val="1"/>
      <w:numFmt w:val="bullet"/>
      <w:lvlText w:val=""/>
      <w:lvlJc w:val="left"/>
      <w:pPr>
        <w:tabs>
          <w:tab w:val="num" w:pos="2308"/>
        </w:tabs>
        <w:ind w:left="2308" w:hanging="360"/>
      </w:pPr>
      <w:rPr>
        <w:rFonts w:ascii="Symbol" w:hAnsi="Symbol" w:hint="default"/>
        <w:sz w:val="20"/>
      </w:rPr>
    </w:lvl>
    <w:lvl w:ilvl="4">
      <w:start w:val="1"/>
      <w:numFmt w:val="bullet"/>
      <w:lvlText w:val=""/>
      <w:lvlJc w:val="left"/>
      <w:pPr>
        <w:tabs>
          <w:tab w:val="num" w:pos="3028"/>
        </w:tabs>
        <w:ind w:left="3028" w:hanging="360"/>
      </w:pPr>
      <w:rPr>
        <w:rFonts w:ascii="Symbol" w:hAnsi="Symbol" w:hint="default"/>
        <w:sz w:val="20"/>
      </w:rPr>
    </w:lvl>
    <w:lvl w:ilvl="5">
      <w:start w:val="1"/>
      <w:numFmt w:val="bullet"/>
      <w:lvlText w:val=""/>
      <w:lvlJc w:val="left"/>
      <w:pPr>
        <w:tabs>
          <w:tab w:val="num" w:pos="3748"/>
        </w:tabs>
        <w:ind w:left="3748" w:hanging="360"/>
      </w:pPr>
      <w:rPr>
        <w:rFonts w:ascii="Symbol" w:hAnsi="Symbol" w:hint="default"/>
        <w:sz w:val="20"/>
      </w:rPr>
    </w:lvl>
    <w:lvl w:ilvl="6">
      <w:start w:val="1"/>
      <w:numFmt w:val="bullet"/>
      <w:lvlText w:val=""/>
      <w:lvlJc w:val="left"/>
      <w:pPr>
        <w:tabs>
          <w:tab w:val="num" w:pos="4468"/>
        </w:tabs>
        <w:ind w:left="4468" w:hanging="360"/>
      </w:pPr>
      <w:rPr>
        <w:rFonts w:ascii="Symbol" w:hAnsi="Symbol" w:hint="default"/>
        <w:sz w:val="20"/>
      </w:rPr>
    </w:lvl>
    <w:lvl w:ilvl="7">
      <w:start w:val="1"/>
      <w:numFmt w:val="bullet"/>
      <w:lvlText w:val=""/>
      <w:lvlJc w:val="left"/>
      <w:pPr>
        <w:tabs>
          <w:tab w:val="num" w:pos="5188"/>
        </w:tabs>
        <w:ind w:left="5188" w:hanging="360"/>
      </w:pPr>
      <w:rPr>
        <w:rFonts w:ascii="Symbol" w:hAnsi="Symbol" w:hint="default"/>
        <w:sz w:val="20"/>
      </w:rPr>
    </w:lvl>
    <w:lvl w:ilvl="8">
      <w:start w:val="1"/>
      <w:numFmt w:val="bullet"/>
      <w:lvlText w:val=""/>
      <w:lvlJc w:val="left"/>
      <w:pPr>
        <w:tabs>
          <w:tab w:val="num" w:pos="5908"/>
        </w:tabs>
        <w:ind w:left="5908" w:hanging="360"/>
      </w:pPr>
      <w:rPr>
        <w:rFonts w:ascii="Symbol" w:hAnsi="Symbol" w:hint="default"/>
        <w:sz w:val="20"/>
      </w:rPr>
    </w:lvl>
  </w:abstractNum>
  <w:abstractNum w:abstractNumId="4" w15:restartNumberingAfterBreak="0">
    <w:nsid w:val="1C855B16"/>
    <w:multiLevelType w:val="multilevel"/>
    <w:tmpl w:val="3510150E"/>
    <w:lvl w:ilvl="0">
      <w:start w:val="1"/>
      <w:numFmt w:val="bullet"/>
      <w:lvlText w:val="-"/>
      <w:lvlJc w:val="left"/>
      <w:pPr>
        <w:tabs>
          <w:tab w:val="num" w:pos="360"/>
        </w:tabs>
        <w:ind w:left="360" w:hanging="360"/>
      </w:pPr>
      <w:rPr>
        <w:rFonts w:ascii="Cambria" w:hAnsi="Cambria"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1F217592"/>
    <w:multiLevelType w:val="multilevel"/>
    <w:tmpl w:val="3C2EFD4E"/>
    <w:lvl w:ilvl="0">
      <w:start w:val="1"/>
      <w:numFmt w:val="bullet"/>
      <w:lvlText w:val="-"/>
      <w:lvlJc w:val="left"/>
      <w:pPr>
        <w:tabs>
          <w:tab w:val="num" w:pos="360"/>
        </w:tabs>
        <w:ind w:left="360" w:hanging="360"/>
      </w:pPr>
      <w:rPr>
        <w:rFonts w:ascii="Cambria" w:hAnsi="Cambria"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2F377AFA"/>
    <w:multiLevelType w:val="hybridMultilevel"/>
    <w:tmpl w:val="F67A6EEE"/>
    <w:lvl w:ilvl="0" w:tplc="BE7041F6">
      <w:numFmt w:val="bullet"/>
      <w:lvlText w:val="-"/>
      <w:lvlJc w:val="left"/>
      <w:pPr>
        <w:ind w:left="360" w:hanging="360"/>
      </w:pPr>
      <w:rPr>
        <w:rFonts w:ascii="Cambria" w:eastAsia="Calibri" w:hAnsi="Cambria"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15:restartNumberingAfterBreak="0">
    <w:nsid w:val="2F935FF3"/>
    <w:multiLevelType w:val="hybridMultilevel"/>
    <w:tmpl w:val="BE5A1A3E"/>
    <w:lvl w:ilvl="0" w:tplc="06EE2B24">
      <w:start w:val="1"/>
      <w:numFmt w:val="bullet"/>
      <w:lvlText w:val="-"/>
      <w:lvlJc w:val="left"/>
      <w:pPr>
        <w:ind w:left="1068" w:hanging="360"/>
      </w:pPr>
      <w:rPr>
        <w:rFonts w:ascii="Cambria" w:hAnsi="Cambria"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8" w15:restartNumberingAfterBreak="0">
    <w:nsid w:val="334E6334"/>
    <w:multiLevelType w:val="multilevel"/>
    <w:tmpl w:val="00947FB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15:restartNumberingAfterBreak="0">
    <w:nsid w:val="339D4AB6"/>
    <w:multiLevelType w:val="hybridMultilevel"/>
    <w:tmpl w:val="220C9B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50A7749"/>
    <w:multiLevelType w:val="hybridMultilevel"/>
    <w:tmpl w:val="F6CED122"/>
    <w:lvl w:ilvl="0" w:tplc="06EE2B24">
      <w:start w:val="1"/>
      <w:numFmt w:val="bullet"/>
      <w:lvlText w:val="-"/>
      <w:lvlJc w:val="left"/>
      <w:pPr>
        <w:ind w:left="1069" w:hanging="360"/>
      </w:pPr>
      <w:rPr>
        <w:rFonts w:ascii="Cambria" w:hAnsi="Cambria"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11" w15:restartNumberingAfterBreak="0">
    <w:nsid w:val="35B760CA"/>
    <w:multiLevelType w:val="singleLevel"/>
    <w:tmpl w:val="5112A9CA"/>
    <w:lvl w:ilvl="0">
      <w:start w:val="1"/>
      <w:numFmt w:val="none"/>
      <w:pStyle w:val="Titre8"/>
      <w:lvlText w:val="P.J. : "/>
      <w:legacy w:legacy="1" w:legacySpace="0" w:legacyIndent="851"/>
      <w:lvlJc w:val="left"/>
      <w:pPr>
        <w:ind w:left="851" w:hanging="851"/>
      </w:pPr>
      <w:rPr>
        <w:b/>
        <w:i w:val="0"/>
        <w:sz w:val="24"/>
        <w:u w:val="single"/>
      </w:rPr>
    </w:lvl>
  </w:abstractNum>
  <w:abstractNum w:abstractNumId="12" w15:restartNumberingAfterBreak="0">
    <w:nsid w:val="3BE17094"/>
    <w:multiLevelType w:val="hybridMultilevel"/>
    <w:tmpl w:val="183C36E2"/>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3" w15:restartNumberingAfterBreak="0">
    <w:nsid w:val="45436FC6"/>
    <w:multiLevelType w:val="multilevel"/>
    <w:tmpl w:val="B48E2C6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4" w15:restartNumberingAfterBreak="0">
    <w:nsid w:val="46A91361"/>
    <w:multiLevelType w:val="multilevel"/>
    <w:tmpl w:val="38C677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5" w15:restartNumberingAfterBreak="0">
    <w:nsid w:val="49115871"/>
    <w:multiLevelType w:val="multilevel"/>
    <w:tmpl w:val="452067F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6" w15:restartNumberingAfterBreak="0">
    <w:nsid w:val="54895480"/>
    <w:multiLevelType w:val="multilevel"/>
    <w:tmpl w:val="004C9D5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7" w15:restartNumberingAfterBreak="0">
    <w:nsid w:val="55EF75B8"/>
    <w:multiLevelType w:val="hybridMultilevel"/>
    <w:tmpl w:val="4F168B04"/>
    <w:lvl w:ilvl="0" w:tplc="1C5089CE">
      <w:start w:val="16"/>
      <w:numFmt w:val="bullet"/>
      <w:lvlText w:val="-"/>
      <w:lvlJc w:val="left"/>
      <w:pPr>
        <w:ind w:left="360" w:hanging="360"/>
      </w:pPr>
      <w:rPr>
        <w:rFonts w:ascii="Times New Roman" w:eastAsia="Times New Roman"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8" w15:restartNumberingAfterBreak="0">
    <w:nsid w:val="5A7C0C66"/>
    <w:multiLevelType w:val="hybridMultilevel"/>
    <w:tmpl w:val="96E65F60"/>
    <w:lvl w:ilvl="0" w:tplc="06EE2B24">
      <w:start w:val="1"/>
      <w:numFmt w:val="bullet"/>
      <w:lvlText w:val="-"/>
      <w:lvlJc w:val="left"/>
      <w:pPr>
        <w:ind w:left="360" w:hanging="360"/>
      </w:pPr>
      <w:rPr>
        <w:rFonts w:ascii="Cambria" w:hAnsi="Cambria"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9" w15:restartNumberingAfterBreak="0">
    <w:nsid w:val="5A983BD2"/>
    <w:multiLevelType w:val="hybridMultilevel"/>
    <w:tmpl w:val="3DE60674"/>
    <w:lvl w:ilvl="0" w:tplc="06EE2B24">
      <w:start w:val="1"/>
      <w:numFmt w:val="bullet"/>
      <w:lvlText w:val="-"/>
      <w:lvlJc w:val="left"/>
      <w:pPr>
        <w:ind w:left="1068" w:hanging="360"/>
      </w:pPr>
      <w:rPr>
        <w:rFonts w:ascii="Cambria" w:hAnsi="Cambria"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0" w15:restartNumberingAfterBreak="0">
    <w:nsid w:val="611771B7"/>
    <w:multiLevelType w:val="hybridMultilevel"/>
    <w:tmpl w:val="B05E7F9E"/>
    <w:lvl w:ilvl="0" w:tplc="06EE2B24">
      <w:start w:val="1"/>
      <w:numFmt w:val="bullet"/>
      <w:lvlText w:val="-"/>
      <w:lvlJc w:val="left"/>
      <w:pPr>
        <w:ind w:left="360" w:hanging="360"/>
      </w:pPr>
      <w:rPr>
        <w:rFonts w:ascii="Cambria" w:hAnsi="Cambria"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1" w15:restartNumberingAfterBreak="0">
    <w:nsid w:val="61DB663B"/>
    <w:multiLevelType w:val="multilevel"/>
    <w:tmpl w:val="3EC80B2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2" w15:restartNumberingAfterBreak="0">
    <w:nsid w:val="61E4381F"/>
    <w:multiLevelType w:val="hybridMultilevel"/>
    <w:tmpl w:val="9C20E0D0"/>
    <w:lvl w:ilvl="0" w:tplc="89342556">
      <w:start w:val="2"/>
      <w:numFmt w:val="bullet"/>
      <w:lvlText w:val="-"/>
      <w:lvlJc w:val="left"/>
      <w:pPr>
        <w:ind w:left="360" w:hanging="360"/>
      </w:pPr>
      <w:rPr>
        <w:rFonts w:ascii="Times New Roman" w:eastAsia="Times New Roman"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3" w15:restartNumberingAfterBreak="0">
    <w:nsid w:val="640D22D6"/>
    <w:multiLevelType w:val="hybridMultilevel"/>
    <w:tmpl w:val="95BA9E3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4" w15:restartNumberingAfterBreak="0">
    <w:nsid w:val="69A24179"/>
    <w:multiLevelType w:val="multilevel"/>
    <w:tmpl w:val="8B969328"/>
    <w:lvl w:ilvl="0">
      <w:start w:val="1"/>
      <w:numFmt w:val="none"/>
      <w:pStyle w:val="-ActeArticlecontenuGEDA"/>
      <w:lvlText w:val=" "/>
      <w:lvlJc w:val="left"/>
      <w:pPr>
        <w:tabs>
          <w:tab w:val="num" w:pos="360"/>
        </w:tabs>
        <w:ind w:left="340" w:hanging="340"/>
      </w:pPr>
    </w:lvl>
    <w:lvl w:ilvl="1">
      <w:start w:val="1"/>
      <w:numFmt w:val="none"/>
      <w:lvlText w:val=" "/>
      <w:lvlJc w:val="left"/>
      <w:pPr>
        <w:tabs>
          <w:tab w:val="num" w:pos="700"/>
        </w:tabs>
        <w:ind w:left="680" w:hanging="340"/>
      </w:pPr>
    </w:lvl>
    <w:lvl w:ilvl="2">
      <w:start w:val="1"/>
      <w:numFmt w:val="lowerRoman"/>
      <w:lvlText w:val="%3)"/>
      <w:lvlJc w:val="left"/>
      <w:pPr>
        <w:tabs>
          <w:tab w:val="num" w:pos="1420"/>
        </w:tabs>
        <w:ind w:left="1420" w:hanging="360"/>
      </w:pPr>
    </w:lvl>
    <w:lvl w:ilvl="3">
      <w:start w:val="1"/>
      <w:numFmt w:val="decimal"/>
      <w:lvlText w:val="(%4)"/>
      <w:lvlJc w:val="left"/>
      <w:pPr>
        <w:tabs>
          <w:tab w:val="num" w:pos="1780"/>
        </w:tabs>
        <w:ind w:left="1780" w:hanging="360"/>
      </w:pPr>
    </w:lvl>
    <w:lvl w:ilvl="4">
      <w:start w:val="1"/>
      <w:numFmt w:val="lowerLetter"/>
      <w:lvlText w:val="(%5)"/>
      <w:lvlJc w:val="left"/>
      <w:pPr>
        <w:tabs>
          <w:tab w:val="num" w:pos="2140"/>
        </w:tabs>
        <w:ind w:left="2140" w:hanging="360"/>
      </w:pPr>
    </w:lvl>
    <w:lvl w:ilvl="5">
      <w:start w:val="1"/>
      <w:numFmt w:val="lowerRoman"/>
      <w:lvlText w:val="(%6)"/>
      <w:lvlJc w:val="left"/>
      <w:pPr>
        <w:tabs>
          <w:tab w:val="num" w:pos="2500"/>
        </w:tabs>
        <w:ind w:left="2500" w:hanging="360"/>
      </w:pPr>
    </w:lvl>
    <w:lvl w:ilvl="6">
      <w:start w:val="1"/>
      <w:numFmt w:val="decimal"/>
      <w:lvlText w:val="%7."/>
      <w:lvlJc w:val="left"/>
      <w:pPr>
        <w:tabs>
          <w:tab w:val="num" w:pos="2860"/>
        </w:tabs>
        <w:ind w:left="2860" w:hanging="360"/>
      </w:pPr>
    </w:lvl>
    <w:lvl w:ilvl="7">
      <w:start w:val="1"/>
      <w:numFmt w:val="lowerLetter"/>
      <w:lvlText w:val="%8."/>
      <w:lvlJc w:val="left"/>
      <w:pPr>
        <w:tabs>
          <w:tab w:val="num" w:pos="3220"/>
        </w:tabs>
        <w:ind w:left="3220" w:hanging="360"/>
      </w:pPr>
    </w:lvl>
    <w:lvl w:ilvl="8">
      <w:start w:val="1"/>
      <w:numFmt w:val="lowerRoman"/>
      <w:lvlText w:val="%9."/>
      <w:lvlJc w:val="left"/>
      <w:pPr>
        <w:tabs>
          <w:tab w:val="num" w:pos="3580"/>
        </w:tabs>
        <w:ind w:left="3580" w:hanging="360"/>
      </w:pPr>
    </w:lvl>
  </w:abstractNum>
  <w:abstractNum w:abstractNumId="25" w15:restartNumberingAfterBreak="0">
    <w:nsid w:val="6D1B7291"/>
    <w:multiLevelType w:val="hybridMultilevel"/>
    <w:tmpl w:val="58A2C1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D687491"/>
    <w:multiLevelType w:val="multilevel"/>
    <w:tmpl w:val="15D2876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72D64687"/>
    <w:multiLevelType w:val="hybridMultilevel"/>
    <w:tmpl w:val="D650346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8" w15:restartNumberingAfterBreak="0">
    <w:nsid w:val="77F119A7"/>
    <w:multiLevelType w:val="hybridMultilevel"/>
    <w:tmpl w:val="AC4C8B4E"/>
    <w:lvl w:ilvl="0" w:tplc="040C0001">
      <w:start w:val="1"/>
      <w:numFmt w:val="bullet"/>
      <w:lvlText w:val=""/>
      <w:lvlJc w:val="left"/>
      <w:pPr>
        <w:ind w:left="360" w:hanging="360"/>
      </w:pPr>
      <w:rPr>
        <w:rFonts w:ascii="Symbol" w:hAnsi="Symbol" w:hint="default"/>
      </w:rPr>
    </w:lvl>
    <w:lvl w:ilvl="1" w:tplc="06EE2B24">
      <w:start w:val="1"/>
      <w:numFmt w:val="bullet"/>
      <w:lvlText w:val="-"/>
      <w:lvlJc w:val="left"/>
      <w:pPr>
        <w:ind w:left="1080" w:hanging="360"/>
      </w:pPr>
      <w:rPr>
        <w:rFonts w:ascii="Cambria" w:hAnsi="Cambria"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9" w15:restartNumberingAfterBreak="0">
    <w:nsid w:val="7DEB62E1"/>
    <w:multiLevelType w:val="multilevel"/>
    <w:tmpl w:val="34785AC6"/>
    <w:lvl w:ilvl="0">
      <w:start w:val="1"/>
      <w:numFmt w:val="bullet"/>
      <w:lvlText w:val="-"/>
      <w:lvlJc w:val="left"/>
      <w:pPr>
        <w:tabs>
          <w:tab w:val="num" w:pos="360"/>
        </w:tabs>
        <w:ind w:left="360" w:hanging="360"/>
      </w:pPr>
      <w:rPr>
        <w:rFonts w:ascii="Cambria" w:hAnsi="Cambria"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11"/>
    <w:lvlOverride w:ilvl="0">
      <w:startOverride w:val="1"/>
    </w:lvlOverride>
  </w:num>
  <w:num w:numId="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14"/>
  </w:num>
  <w:num w:numId="5">
    <w:abstractNumId w:val="21"/>
  </w:num>
  <w:num w:numId="6">
    <w:abstractNumId w:val="22"/>
  </w:num>
  <w:num w:numId="7">
    <w:abstractNumId w:val="8"/>
  </w:num>
  <w:num w:numId="8">
    <w:abstractNumId w:val="17"/>
  </w:num>
  <w:num w:numId="9">
    <w:abstractNumId w:val="23"/>
  </w:num>
  <w:num w:numId="10">
    <w:abstractNumId w:val="20"/>
  </w:num>
  <w:num w:numId="11">
    <w:abstractNumId w:val="18"/>
  </w:num>
  <w:num w:numId="12">
    <w:abstractNumId w:val="29"/>
  </w:num>
  <w:num w:numId="13">
    <w:abstractNumId w:val="27"/>
  </w:num>
  <w:num w:numId="14">
    <w:abstractNumId w:val="13"/>
  </w:num>
  <w:num w:numId="15">
    <w:abstractNumId w:val="15"/>
  </w:num>
  <w:num w:numId="16">
    <w:abstractNumId w:val="28"/>
  </w:num>
  <w:num w:numId="17">
    <w:abstractNumId w:val="10"/>
  </w:num>
  <w:num w:numId="18">
    <w:abstractNumId w:val="16"/>
  </w:num>
  <w:num w:numId="19">
    <w:abstractNumId w:val="0"/>
  </w:num>
  <w:num w:numId="20">
    <w:abstractNumId w:val="5"/>
  </w:num>
  <w:num w:numId="21">
    <w:abstractNumId w:val="4"/>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6"/>
  </w:num>
  <w:num w:numId="24">
    <w:abstractNumId w:val="3"/>
  </w:num>
  <w:num w:numId="25">
    <w:abstractNumId w:val="1"/>
  </w:num>
  <w:num w:numId="26">
    <w:abstractNumId w:val="12"/>
  </w:num>
  <w:num w:numId="27">
    <w:abstractNumId w:val="2"/>
  </w:num>
  <w:num w:numId="28">
    <w:abstractNumId w:val="25"/>
  </w:num>
  <w:num w:numId="29">
    <w:abstractNumId w:val="7"/>
  </w:num>
  <w:num w:numId="30">
    <w:abstractNumId w:val="19"/>
  </w:num>
  <w:num w:numId="31">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5270"/>
    <w:rsid w:val="0000058C"/>
    <w:rsid w:val="00004213"/>
    <w:rsid w:val="00012CF2"/>
    <w:rsid w:val="000308DE"/>
    <w:rsid w:val="00062C36"/>
    <w:rsid w:val="00065D45"/>
    <w:rsid w:val="00067B39"/>
    <w:rsid w:val="000A19DF"/>
    <w:rsid w:val="000C153E"/>
    <w:rsid w:val="000E490F"/>
    <w:rsid w:val="000F3966"/>
    <w:rsid w:val="000F4C48"/>
    <w:rsid w:val="001019EF"/>
    <w:rsid w:val="0010365C"/>
    <w:rsid w:val="001040FD"/>
    <w:rsid w:val="0011437E"/>
    <w:rsid w:val="001217D3"/>
    <w:rsid w:val="00155E04"/>
    <w:rsid w:val="001657A7"/>
    <w:rsid w:val="00197F24"/>
    <w:rsid w:val="001A441F"/>
    <w:rsid w:val="001A6384"/>
    <w:rsid w:val="001B5671"/>
    <w:rsid w:val="001B6B39"/>
    <w:rsid w:val="001D16CC"/>
    <w:rsid w:val="001F3CD6"/>
    <w:rsid w:val="00203E06"/>
    <w:rsid w:val="002073E8"/>
    <w:rsid w:val="002234A0"/>
    <w:rsid w:val="00235214"/>
    <w:rsid w:val="00261798"/>
    <w:rsid w:val="00263FAF"/>
    <w:rsid w:val="002659FD"/>
    <w:rsid w:val="002706D7"/>
    <w:rsid w:val="002B38E5"/>
    <w:rsid w:val="002D2F1A"/>
    <w:rsid w:val="002F0ABA"/>
    <w:rsid w:val="00302594"/>
    <w:rsid w:val="00303F47"/>
    <w:rsid w:val="00315CE8"/>
    <w:rsid w:val="00324C73"/>
    <w:rsid w:val="0032531B"/>
    <w:rsid w:val="00336845"/>
    <w:rsid w:val="003916AA"/>
    <w:rsid w:val="003A785E"/>
    <w:rsid w:val="003E32DC"/>
    <w:rsid w:val="003E5889"/>
    <w:rsid w:val="003E7569"/>
    <w:rsid w:val="003F24CA"/>
    <w:rsid w:val="00407B4B"/>
    <w:rsid w:val="00410ECC"/>
    <w:rsid w:val="004128F4"/>
    <w:rsid w:val="004178CE"/>
    <w:rsid w:val="004268C8"/>
    <w:rsid w:val="00453068"/>
    <w:rsid w:val="004604B5"/>
    <w:rsid w:val="00464602"/>
    <w:rsid w:val="0047255C"/>
    <w:rsid w:val="0048276D"/>
    <w:rsid w:val="004A0A22"/>
    <w:rsid w:val="004A0B38"/>
    <w:rsid w:val="004A28D6"/>
    <w:rsid w:val="004A2D7B"/>
    <w:rsid w:val="004B00A1"/>
    <w:rsid w:val="004C0F64"/>
    <w:rsid w:val="004C4836"/>
    <w:rsid w:val="004C71F3"/>
    <w:rsid w:val="004F1350"/>
    <w:rsid w:val="004F4E5C"/>
    <w:rsid w:val="005107AD"/>
    <w:rsid w:val="00522EA0"/>
    <w:rsid w:val="00524E73"/>
    <w:rsid w:val="005314A8"/>
    <w:rsid w:val="00570711"/>
    <w:rsid w:val="00590A68"/>
    <w:rsid w:val="0059364C"/>
    <w:rsid w:val="005F3BE8"/>
    <w:rsid w:val="005F535E"/>
    <w:rsid w:val="0060389A"/>
    <w:rsid w:val="00617820"/>
    <w:rsid w:val="00625270"/>
    <w:rsid w:val="006676A1"/>
    <w:rsid w:val="0068337E"/>
    <w:rsid w:val="0068570C"/>
    <w:rsid w:val="00685D29"/>
    <w:rsid w:val="0068678A"/>
    <w:rsid w:val="00690ED4"/>
    <w:rsid w:val="006C3C9F"/>
    <w:rsid w:val="006C3CC1"/>
    <w:rsid w:val="006E6DA1"/>
    <w:rsid w:val="006F7FD4"/>
    <w:rsid w:val="00720225"/>
    <w:rsid w:val="00724FBC"/>
    <w:rsid w:val="00731EBA"/>
    <w:rsid w:val="00744496"/>
    <w:rsid w:val="00750891"/>
    <w:rsid w:val="00754E86"/>
    <w:rsid w:val="007A5E09"/>
    <w:rsid w:val="007A6A5E"/>
    <w:rsid w:val="007C393B"/>
    <w:rsid w:val="007E133D"/>
    <w:rsid w:val="007E1C32"/>
    <w:rsid w:val="007E62B3"/>
    <w:rsid w:val="007F7692"/>
    <w:rsid w:val="00803AC4"/>
    <w:rsid w:val="008056CD"/>
    <w:rsid w:val="00807CE3"/>
    <w:rsid w:val="00814C48"/>
    <w:rsid w:val="00817A45"/>
    <w:rsid w:val="00820BBC"/>
    <w:rsid w:val="00822589"/>
    <w:rsid w:val="008809BE"/>
    <w:rsid w:val="008823C5"/>
    <w:rsid w:val="00887E90"/>
    <w:rsid w:val="008900C4"/>
    <w:rsid w:val="00890177"/>
    <w:rsid w:val="008946C5"/>
    <w:rsid w:val="008C03E9"/>
    <w:rsid w:val="008D4C19"/>
    <w:rsid w:val="008E0300"/>
    <w:rsid w:val="008E2E81"/>
    <w:rsid w:val="00902AD0"/>
    <w:rsid w:val="00916876"/>
    <w:rsid w:val="00920D6D"/>
    <w:rsid w:val="009263A2"/>
    <w:rsid w:val="00930BDF"/>
    <w:rsid w:val="0094375D"/>
    <w:rsid w:val="00964474"/>
    <w:rsid w:val="009646E6"/>
    <w:rsid w:val="00966231"/>
    <w:rsid w:val="009744ED"/>
    <w:rsid w:val="00986E2E"/>
    <w:rsid w:val="009A0D8B"/>
    <w:rsid w:val="009B58DD"/>
    <w:rsid w:val="009E34ED"/>
    <w:rsid w:val="009E7DA0"/>
    <w:rsid w:val="00A00B63"/>
    <w:rsid w:val="00A12C80"/>
    <w:rsid w:val="00A1301D"/>
    <w:rsid w:val="00A534C1"/>
    <w:rsid w:val="00A66B6A"/>
    <w:rsid w:val="00A678AE"/>
    <w:rsid w:val="00A751A0"/>
    <w:rsid w:val="00A83348"/>
    <w:rsid w:val="00A90C15"/>
    <w:rsid w:val="00AA1585"/>
    <w:rsid w:val="00AA1B36"/>
    <w:rsid w:val="00AB5AD0"/>
    <w:rsid w:val="00AD364D"/>
    <w:rsid w:val="00AD4D7B"/>
    <w:rsid w:val="00AE0A7B"/>
    <w:rsid w:val="00B05F97"/>
    <w:rsid w:val="00B13111"/>
    <w:rsid w:val="00B22E99"/>
    <w:rsid w:val="00B2325C"/>
    <w:rsid w:val="00B31D2D"/>
    <w:rsid w:val="00B33E76"/>
    <w:rsid w:val="00B34C72"/>
    <w:rsid w:val="00B35075"/>
    <w:rsid w:val="00B7240B"/>
    <w:rsid w:val="00B81E7B"/>
    <w:rsid w:val="00B9245A"/>
    <w:rsid w:val="00B97C80"/>
    <w:rsid w:val="00BA5032"/>
    <w:rsid w:val="00BB7193"/>
    <w:rsid w:val="00BB77F0"/>
    <w:rsid w:val="00BD2018"/>
    <w:rsid w:val="00BE1F42"/>
    <w:rsid w:val="00BF6854"/>
    <w:rsid w:val="00C069A5"/>
    <w:rsid w:val="00C257B4"/>
    <w:rsid w:val="00C2611A"/>
    <w:rsid w:val="00C41BF8"/>
    <w:rsid w:val="00C6114E"/>
    <w:rsid w:val="00C76AD5"/>
    <w:rsid w:val="00C80BBF"/>
    <w:rsid w:val="00C945C0"/>
    <w:rsid w:val="00CB73CF"/>
    <w:rsid w:val="00CC01A4"/>
    <w:rsid w:val="00CC5E46"/>
    <w:rsid w:val="00CD3117"/>
    <w:rsid w:val="00CF74FD"/>
    <w:rsid w:val="00D13D49"/>
    <w:rsid w:val="00D1539E"/>
    <w:rsid w:val="00D22A2D"/>
    <w:rsid w:val="00D410EC"/>
    <w:rsid w:val="00D51096"/>
    <w:rsid w:val="00D5395B"/>
    <w:rsid w:val="00D5697C"/>
    <w:rsid w:val="00D56ED6"/>
    <w:rsid w:val="00D64937"/>
    <w:rsid w:val="00D91BC5"/>
    <w:rsid w:val="00D92064"/>
    <w:rsid w:val="00DA7916"/>
    <w:rsid w:val="00DC0835"/>
    <w:rsid w:val="00E03ED5"/>
    <w:rsid w:val="00E226B8"/>
    <w:rsid w:val="00E40188"/>
    <w:rsid w:val="00E460C9"/>
    <w:rsid w:val="00E51A6D"/>
    <w:rsid w:val="00E81C54"/>
    <w:rsid w:val="00EE4F5F"/>
    <w:rsid w:val="00EE6D3F"/>
    <w:rsid w:val="00EF0BCC"/>
    <w:rsid w:val="00F07947"/>
    <w:rsid w:val="00F14D09"/>
    <w:rsid w:val="00F336CA"/>
    <w:rsid w:val="00F35395"/>
    <w:rsid w:val="00F530C1"/>
    <w:rsid w:val="00F60E41"/>
    <w:rsid w:val="00F767F2"/>
    <w:rsid w:val="00F81704"/>
    <w:rsid w:val="00F84689"/>
    <w:rsid w:val="00F90A62"/>
    <w:rsid w:val="00FB3F7A"/>
    <w:rsid w:val="00FC0BA3"/>
    <w:rsid w:val="00FD7003"/>
    <w:rsid w:val="00FF3F2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53875"/>
  <w15:chartTrackingRefBased/>
  <w15:docId w15:val="{B46A6174-40BA-482C-9625-F4277A83D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60C9"/>
    <w:pPr>
      <w:spacing w:after="0" w:line="240" w:lineRule="auto"/>
    </w:pPr>
    <w:rPr>
      <w:rFonts w:ascii="Times New Roman" w:eastAsia="Times New Roman" w:hAnsi="Times New Roman" w:cs="Times New Roman"/>
      <w:sz w:val="24"/>
      <w:szCs w:val="24"/>
      <w:lang w:eastAsia="es-ES"/>
    </w:rPr>
  </w:style>
  <w:style w:type="paragraph" w:styleId="Titre7">
    <w:name w:val="heading 7"/>
    <w:basedOn w:val="Normal"/>
    <w:next w:val="Normal"/>
    <w:link w:val="Titre7Car"/>
    <w:uiPriority w:val="9"/>
    <w:semiHidden/>
    <w:unhideWhenUsed/>
    <w:qFormat/>
    <w:rsid w:val="00A66B6A"/>
    <w:pPr>
      <w:keepNext/>
      <w:keepLines/>
      <w:spacing w:before="40"/>
      <w:outlineLvl w:val="6"/>
    </w:pPr>
    <w:rPr>
      <w:rFonts w:asciiTheme="majorHAnsi" w:eastAsiaTheme="majorEastAsia" w:hAnsiTheme="majorHAnsi" w:cstheme="majorBidi"/>
      <w:i/>
      <w:iCs/>
      <w:color w:val="1F3763" w:themeColor="accent1" w:themeShade="7F"/>
    </w:rPr>
  </w:style>
  <w:style w:type="paragraph" w:styleId="Titre8">
    <w:name w:val="heading 8"/>
    <w:basedOn w:val="Titre7"/>
    <w:next w:val="-LettreTexteGEDA"/>
    <w:link w:val="Titre8Car"/>
    <w:semiHidden/>
    <w:unhideWhenUsed/>
    <w:qFormat/>
    <w:rsid w:val="00A66B6A"/>
    <w:pPr>
      <w:numPr>
        <w:numId w:val="1"/>
      </w:numPr>
      <w:tabs>
        <w:tab w:val="num" w:pos="360"/>
      </w:tabs>
      <w:spacing w:before="180"/>
      <w:ind w:left="283" w:hanging="283"/>
      <w:outlineLvl w:val="7"/>
    </w:pPr>
    <w:rPr>
      <w:rFonts w:ascii="Times New Roman" w:eastAsia="Times New Roman" w:hAnsi="Times New Roman" w:cs="Arial"/>
      <w:i w:val="0"/>
      <w:iCs w:val="0"/>
      <w:color w:val="auto"/>
      <w:szCs w:val="20"/>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uiPriority w:val="1"/>
    <w:semiHidden/>
    <w:unhideWhenUsed/>
    <w:qFormat/>
    <w:rsid w:val="00625270"/>
    <w:pPr>
      <w:widowControl w:val="0"/>
      <w:autoSpaceDE w:val="0"/>
      <w:autoSpaceDN w:val="0"/>
      <w:adjustRightInd w:val="0"/>
    </w:pPr>
    <w:rPr>
      <w:lang w:eastAsia="fr-FR"/>
    </w:rPr>
  </w:style>
  <w:style w:type="character" w:customStyle="1" w:styleId="CorpsdetexteCar">
    <w:name w:val="Corps de texte Car"/>
    <w:basedOn w:val="Policepardfaut"/>
    <w:link w:val="Corpsdetexte"/>
    <w:uiPriority w:val="1"/>
    <w:semiHidden/>
    <w:rsid w:val="00625270"/>
    <w:rPr>
      <w:rFonts w:ascii="Times New Roman" w:eastAsia="Times New Roman" w:hAnsi="Times New Roman" w:cs="Times New Roman"/>
      <w:sz w:val="24"/>
      <w:szCs w:val="24"/>
      <w:lang w:eastAsia="fr-FR"/>
    </w:rPr>
  </w:style>
  <w:style w:type="paragraph" w:styleId="Sansinterligne">
    <w:name w:val="No Spacing"/>
    <w:uiPriority w:val="1"/>
    <w:qFormat/>
    <w:rsid w:val="00625270"/>
    <w:pPr>
      <w:spacing w:after="0" w:line="240" w:lineRule="auto"/>
    </w:pPr>
    <w:rPr>
      <w:rFonts w:ascii="Times New Roman" w:eastAsia="Times New Roman" w:hAnsi="Times New Roman" w:cs="Times New Roman"/>
      <w:sz w:val="24"/>
      <w:szCs w:val="24"/>
      <w:lang w:eastAsia="es-ES"/>
    </w:rPr>
  </w:style>
  <w:style w:type="character" w:customStyle="1" w:styleId="-LettreTexteGEDACar">
    <w:name w:val="- Lettre:Texte                GEDA Car"/>
    <w:basedOn w:val="Policepardfaut"/>
    <w:link w:val="-LettreTexteGEDA"/>
    <w:locked/>
    <w:rsid w:val="00625270"/>
    <w:rPr>
      <w:rFonts w:ascii="Times New Roman" w:eastAsia="Times New Roman" w:hAnsi="Times New Roman" w:cs="Times New Roman"/>
      <w:noProof/>
      <w:sz w:val="24"/>
      <w:szCs w:val="20"/>
      <w:lang w:eastAsia="fr-FR"/>
    </w:rPr>
  </w:style>
  <w:style w:type="paragraph" w:customStyle="1" w:styleId="-LettreTexteGEDA">
    <w:name w:val="- Lettre:Texte                GEDA"/>
    <w:link w:val="-LettreTexteGEDACar"/>
    <w:rsid w:val="00625270"/>
    <w:pPr>
      <w:overflowPunct w:val="0"/>
      <w:autoSpaceDE w:val="0"/>
      <w:autoSpaceDN w:val="0"/>
      <w:adjustRightInd w:val="0"/>
      <w:spacing w:before="120" w:after="0" w:line="240" w:lineRule="auto"/>
      <w:ind w:firstLine="851"/>
      <w:jc w:val="both"/>
    </w:pPr>
    <w:rPr>
      <w:rFonts w:ascii="Times New Roman" w:eastAsia="Times New Roman" w:hAnsi="Times New Roman" w:cs="Times New Roman"/>
      <w:noProof/>
      <w:sz w:val="24"/>
      <w:szCs w:val="20"/>
      <w:lang w:eastAsia="fr-FR"/>
    </w:rPr>
  </w:style>
  <w:style w:type="paragraph" w:styleId="Titre">
    <w:name w:val="Title"/>
    <w:next w:val="-LettreTexteGEDA"/>
    <w:link w:val="TitreCar"/>
    <w:qFormat/>
    <w:rsid w:val="00814C48"/>
    <w:pPr>
      <w:spacing w:before="180" w:after="0" w:line="240" w:lineRule="auto"/>
      <w:jc w:val="center"/>
      <w:outlineLvl w:val="0"/>
    </w:pPr>
    <w:rPr>
      <w:rFonts w:ascii="Times New Roman" w:eastAsia="Times New Roman" w:hAnsi="Times New Roman" w:cs="Arial"/>
      <w:b/>
      <w:bCs/>
      <w:caps/>
      <w:spacing w:val="60"/>
      <w:kern w:val="28"/>
      <w:sz w:val="24"/>
      <w:szCs w:val="32"/>
      <w:u w:val="thick"/>
    </w:rPr>
  </w:style>
  <w:style w:type="character" w:customStyle="1" w:styleId="TitreCar">
    <w:name w:val="Titre Car"/>
    <w:basedOn w:val="Policepardfaut"/>
    <w:link w:val="Titre"/>
    <w:rsid w:val="00814C48"/>
    <w:rPr>
      <w:rFonts w:ascii="Times New Roman" w:eastAsia="Times New Roman" w:hAnsi="Times New Roman" w:cs="Arial"/>
      <w:b/>
      <w:bCs/>
      <w:caps/>
      <w:spacing w:val="60"/>
      <w:kern w:val="28"/>
      <w:sz w:val="24"/>
      <w:szCs w:val="32"/>
      <w:u w:val="thick"/>
    </w:rPr>
  </w:style>
  <w:style w:type="paragraph" w:customStyle="1" w:styleId="-LettreTexteespacGEDA">
    <w:name w:val="- Lettre:Texte espacé    GEDA"/>
    <w:basedOn w:val="-LettreTexteGEDA"/>
    <w:next w:val="-LettreTexteGEDA"/>
    <w:rsid w:val="00890177"/>
    <w:pPr>
      <w:spacing w:before="360"/>
      <w:textAlignment w:val="baseline"/>
    </w:pPr>
  </w:style>
  <w:style w:type="character" w:styleId="Lienhypertexte">
    <w:name w:val="Hyperlink"/>
    <w:semiHidden/>
    <w:rsid w:val="00890177"/>
    <w:rPr>
      <w:color w:val="0000FF"/>
      <w:u w:val="single"/>
    </w:rPr>
  </w:style>
  <w:style w:type="paragraph" w:styleId="NormalWeb">
    <w:name w:val="Normal (Web)"/>
    <w:basedOn w:val="Normal"/>
    <w:uiPriority w:val="99"/>
    <w:rsid w:val="00890177"/>
    <w:pPr>
      <w:suppressAutoHyphens/>
      <w:spacing w:before="28" w:after="119" w:line="100" w:lineRule="atLeast"/>
    </w:pPr>
    <w:rPr>
      <w:color w:val="000000"/>
      <w:lang w:eastAsia="fr-FR"/>
    </w:rPr>
  </w:style>
  <w:style w:type="paragraph" w:customStyle="1" w:styleId="-LettreObjetGEDA">
    <w:name w:val="- Lettre:Objet                GEDA"/>
    <w:next w:val="Normal"/>
    <w:rsid w:val="00890177"/>
    <w:pPr>
      <w:overflowPunct w:val="0"/>
      <w:autoSpaceDE w:val="0"/>
      <w:autoSpaceDN w:val="0"/>
      <w:adjustRightInd w:val="0"/>
      <w:spacing w:before="240" w:after="0" w:line="240" w:lineRule="auto"/>
      <w:ind w:left="851" w:hanging="851"/>
      <w:jc w:val="both"/>
      <w:textAlignment w:val="baseline"/>
    </w:pPr>
    <w:rPr>
      <w:rFonts w:ascii="Times New Roman" w:eastAsia="Times New Roman" w:hAnsi="Times New Roman" w:cs="Times New Roman"/>
      <w:noProof/>
      <w:sz w:val="24"/>
      <w:szCs w:val="20"/>
      <w:lang w:eastAsia="fr-FR"/>
    </w:rPr>
  </w:style>
  <w:style w:type="table" w:styleId="Grilledutableau">
    <w:name w:val="Table Grid"/>
    <w:basedOn w:val="TableauNormal"/>
    <w:uiPriority w:val="39"/>
    <w:rsid w:val="000042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brut">
    <w:name w:val="Plain Text"/>
    <w:basedOn w:val="Normal"/>
    <w:link w:val="TextebrutCar"/>
    <w:uiPriority w:val="99"/>
    <w:semiHidden/>
    <w:unhideWhenUsed/>
    <w:rsid w:val="006676A1"/>
    <w:rPr>
      <w:rFonts w:ascii="Calibri" w:eastAsiaTheme="minorHAnsi" w:hAnsi="Calibri"/>
      <w:sz w:val="22"/>
      <w:szCs w:val="22"/>
      <w:lang w:eastAsia="en-US"/>
    </w:rPr>
  </w:style>
  <w:style w:type="character" w:customStyle="1" w:styleId="TextebrutCar">
    <w:name w:val="Texte brut Car"/>
    <w:basedOn w:val="Policepardfaut"/>
    <w:link w:val="Textebrut"/>
    <w:uiPriority w:val="99"/>
    <w:semiHidden/>
    <w:rsid w:val="006676A1"/>
    <w:rPr>
      <w:rFonts w:ascii="Calibri" w:hAnsi="Calibri" w:cs="Times New Roman"/>
    </w:rPr>
  </w:style>
  <w:style w:type="paragraph" w:styleId="Paragraphedeliste">
    <w:name w:val="List Paragraph"/>
    <w:basedOn w:val="Normal"/>
    <w:uiPriority w:val="34"/>
    <w:qFormat/>
    <w:rsid w:val="004F4E5C"/>
    <w:pPr>
      <w:ind w:left="720"/>
      <w:contextualSpacing/>
    </w:pPr>
  </w:style>
  <w:style w:type="character" w:customStyle="1" w:styleId="Titre8Car">
    <w:name w:val="Titre 8 Car"/>
    <w:basedOn w:val="Policepardfaut"/>
    <w:link w:val="Titre8"/>
    <w:semiHidden/>
    <w:rsid w:val="00A66B6A"/>
    <w:rPr>
      <w:rFonts w:ascii="Times New Roman" w:eastAsia="Times New Roman" w:hAnsi="Times New Roman" w:cs="Arial"/>
      <w:sz w:val="24"/>
      <w:szCs w:val="20"/>
    </w:rPr>
  </w:style>
  <w:style w:type="paragraph" w:styleId="Sous-titre">
    <w:name w:val="Subtitle"/>
    <w:basedOn w:val="Normal"/>
    <w:next w:val="Normal"/>
    <w:link w:val="Sous-titreCar"/>
    <w:uiPriority w:val="11"/>
    <w:qFormat/>
    <w:rsid w:val="00A66B6A"/>
    <w:pPr>
      <w:spacing w:after="60"/>
      <w:jc w:val="center"/>
      <w:outlineLvl w:val="1"/>
    </w:pPr>
    <w:rPr>
      <w:rFonts w:ascii="Cambria" w:hAnsi="Cambria"/>
      <w:b/>
      <w:u w:val="single"/>
      <w:lang w:eastAsia="fr-FR"/>
    </w:rPr>
  </w:style>
  <w:style w:type="character" w:customStyle="1" w:styleId="Sous-titreCar">
    <w:name w:val="Sous-titre Car"/>
    <w:basedOn w:val="Policepardfaut"/>
    <w:link w:val="Sous-titre"/>
    <w:uiPriority w:val="11"/>
    <w:rsid w:val="00A66B6A"/>
    <w:rPr>
      <w:rFonts w:ascii="Cambria" w:eastAsia="Times New Roman" w:hAnsi="Cambria" w:cs="Times New Roman"/>
      <w:b/>
      <w:sz w:val="24"/>
      <w:szCs w:val="24"/>
      <w:u w:val="single"/>
      <w:lang w:eastAsia="fr-FR"/>
    </w:rPr>
  </w:style>
  <w:style w:type="character" w:customStyle="1" w:styleId="Titre7Car">
    <w:name w:val="Titre 7 Car"/>
    <w:basedOn w:val="Policepardfaut"/>
    <w:link w:val="Titre7"/>
    <w:uiPriority w:val="9"/>
    <w:semiHidden/>
    <w:rsid w:val="00A66B6A"/>
    <w:rPr>
      <w:rFonts w:asciiTheme="majorHAnsi" w:eastAsiaTheme="majorEastAsia" w:hAnsiTheme="majorHAnsi" w:cstheme="majorBidi"/>
      <w:i/>
      <w:iCs/>
      <w:color w:val="1F3763" w:themeColor="accent1" w:themeShade="7F"/>
      <w:sz w:val="24"/>
      <w:szCs w:val="24"/>
      <w:lang w:eastAsia="es-ES"/>
    </w:rPr>
  </w:style>
  <w:style w:type="paragraph" w:customStyle="1" w:styleId="-LettreSuiteORefPJGEDA">
    <w:name w:val="- Lettre:Suite O/Ref/PJ GEDA"/>
    <w:rsid w:val="00F767F2"/>
    <w:pPr>
      <w:overflowPunct w:val="0"/>
      <w:autoSpaceDE w:val="0"/>
      <w:autoSpaceDN w:val="0"/>
      <w:adjustRightInd w:val="0"/>
      <w:spacing w:after="0" w:line="240" w:lineRule="auto"/>
      <w:ind w:left="851"/>
      <w:jc w:val="both"/>
      <w:textAlignment w:val="baseline"/>
    </w:pPr>
    <w:rPr>
      <w:rFonts w:ascii="Times New Roman" w:eastAsia="Times New Roman" w:hAnsi="Times New Roman" w:cs="Times New Roman"/>
      <w:noProof/>
      <w:sz w:val="24"/>
      <w:szCs w:val="20"/>
      <w:lang w:eastAsia="fr-FR"/>
    </w:rPr>
  </w:style>
  <w:style w:type="paragraph" w:customStyle="1" w:styleId="-DiversLigneinvisibleGEDA">
    <w:name w:val="- Divers:Ligne invisible   GEDA"/>
    <w:rsid w:val="002D2F1A"/>
    <w:pPr>
      <w:overflowPunct w:val="0"/>
      <w:autoSpaceDE w:val="0"/>
      <w:autoSpaceDN w:val="0"/>
      <w:adjustRightInd w:val="0"/>
      <w:spacing w:after="0" w:line="240" w:lineRule="auto"/>
      <w:textAlignment w:val="baseline"/>
    </w:pPr>
    <w:rPr>
      <w:rFonts w:ascii="Times New Roman" w:eastAsia="Times New Roman" w:hAnsi="Times New Roman" w:cs="Times New Roman"/>
      <w:noProof/>
      <w:vanish/>
      <w:sz w:val="2"/>
      <w:szCs w:val="20"/>
      <w:lang w:eastAsia="fr-FR"/>
    </w:rPr>
  </w:style>
  <w:style w:type="character" w:styleId="Accentuation">
    <w:name w:val="Emphasis"/>
    <w:basedOn w:val="Policepardfaut"/>
    <w:uiPriority w:val="20"/>
    <w:qFormat/>
    <w:rsid w:val="00FB3F7A"/>
    <w:rPr>
      <w:i/>
      <w:iCs/>
    </w:rPr>
  </w:style>
  <w:style w:type="character" w:styleId="lev">
    <w:name w:val="Strong"/>
    <w:basedOn w:val="Policepardfaut"/>
    <w:uiPriority w:val="22"/>
    <w:qFormat/>
    <w:rsid w:val="00FB3F7A"/>
    <w:rPr>
      <w:b/>
      <w:bCs/>
    </w:rPr>
  </w:style>
  <w:style w:type="paragraph" w:customStyle="1" w:styleId="-ActeArticlecontenuGEDA">
    <w:name w:val="- Acte:Article (contenu)           GEDA"/>
    <w:rsid w:val="000A19DF"/>
    <w:pPr>
      <w:numPr>
        <w:numId w:val="2"/>
      </w:numPr>
      <w:spacing w:before="60" w:after="0" w:line="240" w:lineRule="auto"/>
      <w:jc w:val="both"/>
    </w:pPr>
    <w:rPr>
      <w:rFonts w:ascii="Times New Roman" w:eastAsia="Times New Roman" w:hAnsi="Times New Roman" w:cs="Times New Roman"/>
      <w:sz w:val="24"/>
      <w:szCs w:val="20"/>
      <w:lang w:eastAsia="fr-FR"/>
    </w:rPr>
  </w:style>
  <w:style w:type="paragraph" w:customStyle="1" w:styleId="-LettrePJGEDA">
    <w:name w:val="- Lettre:P.J.                  GEDA"/>
    <w:basedOn w:val="Normal"/>
    <w:rsid w:val="009A0D8B"/>
    <w:pPr>
      <w:overflowPunct w:val="0"/>
      <w:autoSpaceDE w:val="0"/>
      <w:autoSpaceDN w:val="0"/>
      <w:spacing w:before="80"/>
      <w:ind w:left="851" w:hanging="851"/>
      <w:jc w:val="both"/>
    </w:pPr>
    <w:rPr>
      <w:rFonts w:eastAsiaTheme="minorHAnsi"/>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96713">
      <w:bodyDiv w:val="1"/>
      <w:marLeft w:val="0"/>
      <w:marRight w:val="0"/>
      <w:marTop w:val="0"/>
      <w:marBottom w:val="0"/>
      <w:divBdr>
        <w:top w:val="none" w:sz="0" w:space="0" w:color="auto"/>
        <w:left w:val="none" w:sz="0" w:space="0" w:color="auto"/>
        <w:bottom w:val="none" w:sz="0" w:space="0" w:color="auto"/>
        <w:right w:val="none" w:sz="0" w:space="0" w:color="auto"/>
      </w:divBdr>
    </w:div>
    <w:div w:id="51390978">
      <w:bodyDiv w:val="1"/>
      <w:marLeft w:val="0"/>
      <w:marRight w:val="0"/>
      <w:marTop w:val="0"/>
      <w:marBottom w:val="0"/>
      <w:divBdr>
        <w:top w:val="none" w:sz="0" w:space="0" w:color="auto"/>
        <w:left w:val="none" w:sz="0" w:space="0" w:color="auto"/>
        <w:bottom w:val="none" w:sz="0" w:space="0" w:color="auto"/>
        <w:right w:val="none" w:sz="0" w:space="0" w:color="auto"/>
      </w:divBdr>
    </w:div>
    <w:div w:id="67117818">
      <w:bodyDiv w:val="1"/>
      <w:marLeft w:val="0"/>
      <w:marRight w:val="0"/>
      <w:marTop w:val="0"/>
      <w:marBottom w:val="0"/>
      <w:divBdr>
        <w:top w:val="none" w:sz="0" w:space="0" w:color="auto"/>
        <w:left w:val="none" w:sz="0" w:space="0" w:color="auto"/>
        <w:bottom w:val="none" w:sz="0" w:space="0" w:color="auto"/>
        <w:right w:val="none" w:sz="0" w:space="0" w:color="auto"/>
      </w:divBdr>
    </w:div>
    <w:div w:id="132479801">
      <w:bodyDiv w:val="1"/>
      <w:marLeft w:val="0"/>
      <w:marRight w:val="0"/>
      <w:marTop w:val="0"/>
      <w:marBottom w:val="0"/>
      <w:divBdr>
        <w:top w:val="none" w:sz="0" w:space="0" w:color="auto"/>
        <w:left w:val="none" w:sz="0" w:space="0" w:color="auto"/>
        <w:bottom w:val="none" w:sz="0" w:space="0" w:color="auto"/>
        <w:right w:val="none" w:sz="0" w:space="0" w:color="auto"/>
      </w:divBdr>
    </w:div>
    <w:div w:id="154808881">
      <w:bodyDiv w:val="1"/>
      <w:marLeft w:val="0"/>
      <w:marRight w:val="0"/>
      <w:marTop w:val="0"/>
      <w:marBottom w:val="0"/>
      <w:divBdr>
        <w:top w:val="none" w:sz="0" w:space="0" w:color="auto"/>
        <w:left w:val="none" w:sz="0" w:space="0" w:color="auto"/>
        <w:bottom w:val="none" w:sz="0" w:space="0" w:color="auto"/>
        <w:right w:val="none" w:sz="0" w:space="0" w:color="auto"/>
      </w:divBdr>
    </w:div>
    <w:div w:id="160126642">
      <w:bodyDiv w:val="1"/>
      <w:marLeft w:val="0"/>
      <w:marRight w:val="0"/>
      <w:marTop w:val="0"/>
      <w:marBottom w:val="0"/>
      <w:divBdr>
        <w:top w:val="none" w:sz="0" w:space="0" w:color="auto"/>
        <w:left w:val="none" w:sz="0" w:space="0" w:color="auto"/>
        <w:bottom w:val="none" w:sz="0" w:space="0" w:color="auto"/>
        <w:right w:val="none" w:sz="0" w:space="0" w:color="auto"/>
      </w:divBdr>
    </w:div>
    <w:div w:id="172190557">
      <w:bodyDiv w:val="1"/>
      <w:marLeft w:val="0"/>
      <w:marRight w:val="0"/>
      <w:marTop w:val="0"/>
      <w:marBottom w:val="0"/>
      <w:divBdr>
        <w:top w:val="none" w:sz="0" w:space="0" w:color="auto"/>
        <w:left w:val="none" w:sz="0" w:space="0" w:color="auto"/>
        <w:bottom w:val="none" w:sz="0" w:space="0" w:color="auto"/>
        <w:right w:val="none" w:sz="0" w:space="0" w:color="auto"/>
      </w:divBdr>
    </w:div>
    <w:div w:id="192571349">
      <w:bodyDiv w:val="1"/>
      <w:marLeft w:val="0"/>
      <w:marRight w:val="0"/>
      <w:marTop w:val="0"/>
      <w:marBottom w:val="0"/>
      <w:divBdr>
        <w:top w:val="none" w:sz="0" w:space="0" w:color="auto"/>
        <w:left w:val="none" w:sz="0" w:space="0" w:color="auto"/>
        <w:bottom w:val="none" w:sz="0" w:space="0" w:color="auto"/>
        <w:right w:val="none" w:sz="0" w:space="0" w:color="auto"/>
      </w:divBdr>
    </w:div>
    <w:div w:id="217860453">
      <w:bodyDiv w:val="1"/>
      <w:marLeft w:val="0"/>
      <w:marRight w:val="0"/>
      <w:marTop w:val="0"/>
      <w:marBottom w:val="0"/>
      <w:divBdr>
        <w:top w:val="none" w:sz="0" w:space="0" w:color="auto"/>
        <w:left w:val="none" w:sz="0" w:space="0" w:color="auto"/>
        <w:bottom w:val="none" w:sz="0" w:space="0" w:color="auto"/>
        <w:right w:val="none" w:sz="0" w:space="0" w:color="auto"/>
      </w:divBdr>
    </w:div>
    <w:div w:id="222177411">
      <w:bodyDiv w:val="1"/>
      <w:marLeft w:val="0"/>
      <w:marRight w:val="0"/>
      <w:marTop w:val="0"/>
      <w:marBottom w:val="0"/>
      <w:divBdr>
        <w:top w:val="none" w:sz="0" w:space="0" w:color="auto"/>
        <w:left w:val="none" w:sz="0" w:space="0" w:color="auto"/>
        <w:bottom w:val="none" w:sz="0" w:space="0" w:color="auto"/>
        <w:right w:val="none" w:sz="0" w:space="0" w:color="auto"/>
      </w:divBdr>
    </w:div>
    <w:div w:id="232742166">
      <w:bodyDiv w:val="1"/>
      <w:marLeft w:val="0"/>
      <w:marRight w:val="0"/>
      <w:marTop w:val="0"/>
      <w:marBottom w:val="0"/>
      <w:divBdr>
        <w:top w:val="none" w:sz="0" w:space="0" w:color="auto"/>
        <w:left w:val="none" w:sz="0" w:space="0" w:color="auto"/>
        <w:bottom w:val="none" w:sz="0" w:space="0" w:color="auto"/>
        <w:right w:val="none" w:sz="0" w:space="0" w:color="auto"/>
      </w:divBdr>
    </w:div>
    <w:div w:id="270287424">
      <w:bodyDiv w:val="1"/>
      <w:marLeft w:val="0"/>
      <w:marRight w:val="0"/>
      <w:marTop w:val="0"/>
      <w:marBottom w:val="0"/>
      <w:divBdr>
        <w:top w:val="none" w:sz="0" w:space="0" w:color="auto"/>
        <w:left w:val="none" w:sz="0" w:space="0" w:color="auto"/>
        <w:bottom w:val="none" w:sz="0" w:space="0" w:color="auto"/>
        <w:right w:val="none" w:sz="0" w:space="0" w:color="auto"/>
      </w:divBdr>
    </w:div>
    <w:div w:id="281806668">
      <w:bodyDiv w:val="1"/>
      <w:marLeft w:val="0"/>
      <w:marRight w:val="0"/>
      <w:marTop w:val="0"/>
      <w:marBottom w:val="0"/>
      <w:divBdr>
        <w:top w:val="none" w:sz="0" w:space="0" w:color="auto"/>
        <w:left w:val="none" w:sz="0" w:space="0" w:color="auto"/>
        <w:bottom w:val="none" w:sz="0" w:space="0" w:color="auto"/>
        <w:right w:val="none" w:sz="0" w:space="0" w:color="auto"/>
      </w:divBdr>
    </w:div>
    <w:div w:id="297881495">
      <w:bodyDiv w:val="1"/>
      <w:marLeft w:val="0"/>
      <w:marRight w:val="0"/>
      <w:marTop w:val="0"/>
      <w:marBottom w:val="0"/>
      <w:divBdr>
        <w:top w:val="none" w:sz="0" w:space="0" w:color="auto"/>
        <w:left w:val="none" w:sz="0" w:space="0" w:color="auto"/>
        <w:bottom w:val="none" w:sz="0" w:space="0" w:color="auto"/>
        <w:right w:val="none" w:sz="0" w:space="0" w:color="auto"/>
      </w:divBdr>
    </w:div>
    <w:div w:id="302195194">
      <w:bodyDiv w:val="1"/>
      <w:marLeft w:val="0"/>
      <w:marRight w:val="0"/>
      <w:marTop w:val="0"/>
      <w:marBottom w:val="0"/>
      <w:divBdr>
        <w:top w:val="none" w:sz="0" w:space="0" w:color="auto"/>
        <w:left w:val="none" w:sz="0" w:space="0" w:color="auto"/>
        <w:bottom w:val="none" w:sz="0" w:space="0" w:color="auto"/>
        <w:right w:val="none" w:sz="0" w:space="0" w:color="auto"/>
      </w:divBdr>
    </w:div>
    <w:div w:id="306201898">
      <w:bodyDiv w:val="1"/>
      <w:marLeft w:val="0"/>
      <w:marRight w:val="0"/>
      <w:marTop w:val="0"/>
      <w:marBottom w:val="0"/>
      <w:divBdr>
        <w:top w:val="none" w:sz="0" w:space="0" w:color="auto"/>
        <w:left w:val="none" w:sz="0" w:space="0" w:color="auto"/>
        <w:bottom w:val="none" w:sz="0" w:space="0" w:color="auto"/>
        <w:right w:val="none" w:sz="0" w:space="0" w:color="auto"/>
      </w:divBdr>
    </w:div>
    <w:div w:id="376391571">
      <w:bodyDiv w:val="1"/>
      <w:marLeft w:val="0"/>
      <w:marRight w:val="0"/>
      <w:marTop w:val="0"/>
      <w:marBottom w:val="0"/>
      <w:divBdr>
        <w:top w:val="none" w:sz="0" w:space="0" w:color="auto"/>
        <w:left w:val="none" w:sz="0" w:space="0" w:color="auto"/>
        <w:bottom w:val="none" w:sz="0" w:space="0" w:color="auto"/>
        <w:right w:val="none" w:sz="0" w:space="0" w:color="auto"/>
      </w:divBdr>
    </w:div>
    <w:div w:id="426116085">
      <w:bodyDiv w:val="1"/>
      <w:marLeft w:val="0"/>
      <w:marRight w:val="0"/>
      <w:marTop w:val="0"/>
      <w:marBottom w:val="0"/>
      <w:divBdr>
        <w:top w:val="none" w:sz="0" w:space="0" w:color="auto"/>
        <w:left w:val="none" w:sz="0" w:space="0" w:color="auto"/>
        <w:bottom w:val="none" w:sz="0" w:space="0" w:color="auto"/>
        <w:right w:val="none" w:sz="0" w:space="0" w:color="auto"/>
      </w:divBdr>
    </w:div>
    <w:div w:id="440272318">
      <w:bodyDiv w:val="1"/>
      <w:marLeft w:val="0"/>
      <w:marRight w:val="0"/>
      <w:marTop w:val="0"/>
      <w:marBottom w:val="0"/>
      <w:divBdr>
        <w:top w:val="none" w:sz="0" w:space="0" w:color="auto"/>
        <w:left w:val="none" w:sz="0" w:space="0" w:color="auto"/>
        <w:bottom w:val="none" w:sz="0" w:space="0" w:color="auto"/>
        <w:right w:val="none" w:sz="0" w:space="0" w:color="auto"/>
      </w:divBdr>
    </w:div>
    <w:div w:id="569659922">
      <w:bodyDiv w:val="1"/>
      <w:marLeft w:val="0"/>
      <w:marRight w:val="0"/>
      <w:marTop w:val="0"/>
      <w:marBottom w:val="0"/>
      <w:divBdr>
        <w:top w:val="none" w:sz="0" w:space="0" w:color="auto"/>
        <w:left w:val="none" w:sz="0" w:space="0" w:color="auto"/>
        <w:bottom w:val="none" w:sz="0" w:space="0" w:color="auto"/>
        <w:right w:val="none" w:sz="0" w:space="0" w:color="auto"/>
      </w:divBdr>
    </w:div>
    <w:div w:id="590772382">
      <w:bodyDiv w:val="1"/>
      <w:marLeft w:val="0"/>
      <w:marRight w:val="0"/>
      <w:marTop w:val="0"/>
      <w:marBottom w:val="0"/>
      <w:divBdr>
        <w:top w:val="none" w:sz="0" w:space="0" w:color="auto"/>
        <w:left w:val="none" w:sz="0" w:space="0" w:color="auto"/>
        <w:bottom w:val="none" w:sz="0" w:space="0" w:color="auto"/>
        <w:right w:val="none" w:sz="0" w:space="0" w:color="auto"/>
      </w:divBdr>
    </w:div>
    <w:div w:id="590898163">
      <w:bodyDiv w:val="1"/>
      <w:marLeft w:val="0"/>
      <w:marRight w:val="0"/>
      <w:marTop w:val="0"/>
      <w:marBottom w:val="0"/>
      <w:divBdr>
        <w:top w:val="none" w:sz="0" w:space="0" w:color="auto"/>
        <w:left w:val="none" w:sz="0" w:space="0" w:color="auto"/>
        <w:bottom w:val="none" w:sz="0" w:space="0" w:color="auto"/>
        <w:right w:val="none" w:sz="0" w:space="0" w:color="auto"/>
      </w:divBdr>
    </w:div>
    <w:div w:id="679967909">
      <w:bodyDiv w:val="1"/>
      <w:marLeft w:val="0"/>
      <w:marRight w:val="0"/>
      <w:marTop w:val="0"/>
      <w:marBottom w:val="0"/>
      <w:divBdr>
        <w:top w:val="none" w:sz="0" w:space="0" w:color="auto"/>
        <w:left w:val="none" w:sz="0" w:space="0" w:color="auto"/>
        <w:bottom w:val="none" w:sz="0" w:space="0" w:color="auto"/>
        <w:right w:val="none" w:sz="0" w:space="0" w:color="auto"/>
      </w:divBdr>
    </w:div>
    <w:div w:id="829365450">
      <w:bodyDiv w:val="1"/>
      <w:marLeft w:val="0"/>
      <w:marRight w:val="0"/>
      <w:marTop w:val="0"/>
      <w:marBottom w:val="0"/>
      <w:divBdr>
        <w:top w:val="none" w:sz="0" w:space="0" w:color="auto"/>
        <w:left w:val="none" w:sz="0" w:space="0" w:color="auto"/>
        <w:bottom w:val="none" w:sz="0" w:space="0" w:color="auto"/>
        <w:right w:val="none" w:sz="0" w:space="0" w:color="auto"/>
      </w:divBdr>
    </w:div>
    <w:div w:id="906651693">
      <w:bodyDiv w:val="1"/>
      <w:marLeft w:val="0"/>
      <w:marRight w:val="0"/>
      <w:marTop w:val="0"/>
      <w:marBottom w:val="0"/>
      <w:divBdr>
        <w:top w:val="none" w:sz="0" w:space="0" w:color="auto"/>
        <w:left w:val="none" w:sz="0" w:space="0" w:color="auto"/>
        <w:bottom w:val="none" w:sz="0" w:space="0" w:color="auto"/>
        <w:right w:val="none" w:sz="0" w:space="0" w:color="auto"/>
      </w:divBdr>
    </w:div>
    <w:div w:id="927688744">
      <w:bodyDiv w:val="1"/>
      <w:marLeft w:val="0"/>
      <w:marRight w:val="0"/>
      <w:marTop w:val="0"/>
      <w:marBottom w:val="0"/>
      <w:divBdr>
        <w:top w:val="none" w:sz="0" w:space="0" w:color="auto"/>
        <w:left w:val="none" w:sz="0" w:space="0" w:color="auto"/>
        <w:bottom w:val="none" w:sz="0" w:space="0" w:color="auto"/>
        <w:right w:val="none" w:sz="0" w:space="0" w:color="auto"/>
      </w:divBdr>
    </w:div>
    <w:div w:id="938217331">
      <w:bodyDiv w:val="1"/>
      <w:marLeft w:val="0"/>
      <w:marRight w:val="0"/>
      <w:marTop w:val="0"/>
      <w:marBottom w:val="0"/>
      <w:divBdr>
        <w:top w:val="none" w:sz="0" w:space="0" w:color="auto"/>
        <w:left w:val="none" w:sz="0" w:space="0" w:color="auto"/>
        <w:bottom w:val="none" w:sz="0" w:space="0" w:color="auto"/>
        <w:right w:val="none" w:sz="0" w:space="0" w:color="auto"/>
      </w:divBdr>
    </w:div>
    <w:div w:id="1005598108">
      <w:bodyDiv w:val="1"/>
      <w:marLeft w:val="0"/>
      <w:marRight w:val="0"/>
      <w:marTop w:val="0"/>
      <w:marBottom w:val="0"/>
      <w:divBdr>
        <w:top w:val="none" w:sz="0" w:space="0" w:color="auto"/>
        <w:left w:val="none" w:sz="0" w:space="0" w:color="auto"/>
        <w:bottom w:val="none" w:sz="0" w:space="0" w:color="auto"/>
        <w:right w:val="none" w:sz="0" w:space="0" w:color="auto"/>
      </w:divBdr>
    </w:div>
    <w:div w:id="1075009944">
      <w:bodyDiv w:val="1"/>
      <w:marLeft w:val="0"/>
      <w:marRight w:val="0"/>
      <w:marTop w:val="0"/>
      <w:marBottom w:val="0"/>
      <w:divBdr>
        <w:top w:val="none" w:sz="0" w:space="0" w:color="auto"/>
        <w:left w:val="none" w:sz="0" w:space="0" w:color="auto"/>
        <w:bottom w:val="none" w:sz="0" w:space="0" w:color="auto"/>
        <w:right w:val="none" w:sz="0" w:space="0" w:color="auto"/>
      </w:divBdr>
    </w:div>
    <w:div w:id="1076897647">
      <w:bodyDiv w:val="1"/>
      <w:marLeft w:val="0"/>
      <w:marRight w:val="0"/>
      <w:marTop w:val="0"/>
      <w:marBottom w:val="0"/>
      <w:divBdr>
        <w:top w:val="none" w:sz="0" w:space="0" w:color="auto"/>
        <w:left w:val="none" w:sz="0" w:space="0" w:color="auto"/>
        <w:bottom w:val="none" w:sz="0" w:space="0" w:color="auto"/>
        <w:right w:val="none" w:sz="0" w:space="0" w:color="auto"/>
      </w:divBdr>
    </w:div>
    <w:div w:id="1080910546">
      <w:bodyDiv w:val="1"/>
      <w:marLeft w:val="0"/>
      <w:marRight w:val="0"/>
      <w:marTop w:val="0"/>
      <w:marBottom w:val="0"/>
      <w:divBdr>
        <w:top w:val="none" w:sz="0" w:space="0" w:color="auto"/>
        <w:left w:val="none" w:sz="0" w:space="0" w:color="auto"/>
        <w:bottom w:val="none" w:sz="0" w:space="0" w:color="auto"/>
        <w:right w:val="none" w:sz="0" w:space="0" w:color="auto"/>
      </w:divBdr>
    </w:div>
    <w:div w:id="1081566439">
      <w:bodyDiv w:val="1"/>
      <w:marLeft w:val="0"/>
      <w:marRight w:val="0"/>
      <w:marTop w:val="0"/>
      <w:marBottom w:val="0"/>
      <w:divBdr>
        <w:top w:val="none" w:sz="0" w:space="0" w:color="auto"/>
        <w:left w:val="none" w:sz="0" w:space="0" w:color="auto"/>
        <w:bottom w:val="none" w:sz="0" w:space="0" w:color="auto"/>
        <w:right w:val="none" w:sz="0" w:space="0" w:color="auto"/>
      </w:divBdr>
    </w:div>
    <w:div w:id="1096169284">
      <w:bodyDiv w:val="1"/>
      <w:marLeft w:val="0"/>
      <w:marRight w:val="0"/>
      <w:marTop w:val="0"/>
      <w:marBottom w:val="0"/>
      <w:divBdr>
        <w:top w:val="none" w:sz="0" w:space="0" w:color="auto"/>
        <w:left w:val="none" w:sz="0" w:space="0" w:color="auto"/>
        <w:bottom w:val="none" w:sz="0" w:space="0" w:color="auto"/>
        <w:right w:val="none" w:sz="0" w:space="0" w:color="auto"/>
      </w:divBdr>
    </w:div>
    <w:div w:id="1127239226">
      <w:bodyDiv w:val="1"/>
      <w:marLeft w:val="0"/>
      <w:marRight w:val="0"/>
      <w:marTop w:val="0"/>
      <w:marBottom w:val="0"/>
      <w:divBdr>
        <w:top w:val="none" w:sz="0" w:space="0" w:color="auto"/>
        <w:left w:val="none" w:sz="0" w:space="0" w:color="auto"/>
        <w:bottom w:val="none" w:sz="0" w:space="0" w:color="auto"/>
        <w:right w:val="none" w:sz="0" w:space="0" w:color="auto"/>
      </w:divBdr>
    </w:div>
    <w:div w:id="1175074497">
      <w:bodyDiv w:val="1"/>
      <w:marLeft w:val="0"/>
      <w:marRight w:val="0"/>
      <w:marTop w:val="0"/>
      <w:marBottom w:val="0"/>
      <w:divBdr>
        <w:top w:val="none" w:sz="0" w:space="0" w:color="auto"/>
        <w:left w:val="none" w:sz="0" w:space="0" w:color="auto"/>
        <w:bottom w:val="none" w:sz="0" w:space="0" w:color="auto"/>
        <w:right w:val="none" w:sz="0" w:space="0" w:color="auto"/>
      </w:divBdr>
    </w:div>
    <w:div w:id="1180662968">
      <w:bodyDiv w:val="1"/>
      <w:marLeft w:val="0"/>
      <w:marRight w:val="0"/>
      <w:marTop w:val="0"/>
      <w:marBottom w:val="0"/>
      <w:divBdr>
        <w:top w:val="none" w:sz="0" w:space="0" w:color="auto"/>
        <w:left w:val="none" w:sz="0" w:space="0" w:color="auto"/>
        <w:bottom w:val="none" w:sz="0" w:space="0" w:color="auto"/>
        <w:right w:val="none" w:sz="0" w:space="0" w:color="auto"/>
      </w:divBdr>
    </w:div>
    <w:div w:id="1193953773">
      <w:bodyDiv w:val="1"/>
      <w:marLeft w:val="0"/>
      <w:marRight w:val="0"/>
      <w:marTop w:val="0"/>
      <w:marBottom w:val="0"/>
      <w:divBdr>
        <w:top w:val="none" w:sz="0" w:space="0" w:color="auto"/>
        <w:left w:val="none" w:sz="0" w:space="0" w:color="auto"/>
        <w:bottom w:val="none" w:sz="0" w:space="0" w:color="auto"/>
        <w:right w:val="none" w:sz="0" w:space="0" w:color="auto"/>
      </w:divBdr>
    </w:div>
    <w:div w:id="1216425957">
      <w:bodyDiv w:val="1"/>
      <w:marLeft w:val="0"/>
      <w:marRight w:val="0"/>
      <w:marTop w:val="0"/>
      <w:marBottom w:val="0"/>
      <w:divBdr>
        <w:top w:val="none" w:sz="0" w:space="0" w:color="auto"/>
        <w:left w:val="none" w:sz="0" w:space="0" w:color="auto"/>
        <w:bottom w:val="none" w:sz="0" w:space="0" w:color="auto"/>
        <w:right w:val="none" w:sz="0" w:space="0" w:color="auto"/>
      </w:divBdr>
    </w:div>
    <w:div w:id="1244292563">
      <w:bodyDiv w:val="1"/>
      <w:marLeft w:val="0"/>
      <w:marRight w:val="0"/>
      <w:marTop w:val="0"/>
      <w:marBottom w:val="0"/>
      <w:divBdr>
        <w:top w:val="none" w:sz="0" w:space="0" w:color="auto"/>
        <w:left w:val="none" w:sz="0" w:space="0" w:color="auto"/>
        <w:bottom w:val="none" w:sz="0" w:space="0" w:color="auto"/>
        <w:right w:val="none" w:sz="0" w:space="0" w:color="auto"/>
      </w:divBdr>
    </w:div>
    <w:div w:id="1252275512">
      <w:bodyDiv w:val="1"/>
      <w:marLeft w:val="0"/>
      <w:marRight w:val="0"/>
      <w:marTop w:val="0"/>
      <w:marBottom w:val="0"/>
      <w:divBdr>
        <w:top w:val="none" w:sz="0" w:space="0" w:color="auto"/>
        <w:left w:val="none" w:sz="0" w:space="0" w:color="auto"/>
        <w:bottom w:val="none" w:sz="0" w:space="0" w:color="auto"/>
        <w:right w:val="none" w:sz="0" w:space="0" w:color="auto"/>
      </w:divBdr>
    </w:div>
    <w:div w:id="1252660020">
      <w:bodyDiv w:val="1"/>
      <w:marLeft w:val="0"/>
      <w:marRight w:val="0"/>
      <w:marTop w:val="0"/>
      <w:marBottom w:val="0"/>
      <w:divBdr>
        <w:top w:val="none" w:sz="0" w:space="0" w:color="auto"/>
        <w:left w:val="none" w:sz="0" w:space="0" w:color="auto"/>
        <w:bottom w:val="none" w:sz="0" w:space="0" w:color="auto"/>
        <w:right w:val="none" w:sz="0" w:space="0" w:color="auto"/>
      </w:divBdr>
    </w:div>
    <w:div w:id="1254588088">
      <w:bodyDiv w:val="1"/>
      <w:marLeft w:val="0"/>
      <w:marRight w:val="0"/>
      <w:marTop w:val="0"/>
      <w:marBottom w:val="0"/>
      <w:divBdr>
        <w:top w:val="none" w:sz="0" w:space="0" w:color="auto"/>
        <w:left w:val="none" w:sz="0" w:space="0" w:color="auto"/>
        <w:bottom w:val="none" w:sz="0" w:space="0" w:color="auto"/>
        <w:right w:val="none" w:sz="0" w:space="0" w:color="auto"/>
      </w:divBdr>
    </w:div>
    <w:div w:id="1268081724">
      <w:bodyDiv w:val="1"/>
      <w:marLeft w:val="0"/>
      <w:marRight w:val="0"/>
      <w:marTop w:val="0"/>
      <w:marBottom w:val="0"/>
      <w:divBdr>
        <w:top w:val="none" w:sz="0" w:space="0" w:color="auto"/>
        <w:left w:val="none" w:sz="0" w:space="0" w:color="auto"/>
        <w:bottom w:val="none" w:sz="0" w:space="0" w:color="auto"/>
        <w:right w:val="none" w:sz="0" w:space="0" w:color="auto"/>
      </w:divBdr>
    </w:div>
    <w:div w:id="1277522008">
      <w:bodyDiv w:val="1"/>
      <w:marLeft w:val="0"/>
      <w:marRight w:val="0"/>
      <w:marTop w:val="0"/>
      <w:marBottom w:val="0"/>
      <w:divBdr>
        <w:top w:val="none" w:sz="0" w:space="0" w:color="auto"/>
        <w:left w:val="none" w:sz="0" w:space="0" w:color="auto"/>
        <w:bottom w:val="none" w:sz="0" w:space="0" w:color="auto"/>
        <w:right w:val="none" w:sz="0" w:space="0" w:color="auto"/>
      </w:divBdr>
    </w:div>
    <w:div w:id="1298030329">
      <w:bodyDiv w:val="1"/>
      <w:marLeft w:val="0"/>
      <w:marRight w:val="0"/>
      <w:marTop w:val="0"/>
      <w:marBottom w:val="0"/>
      <w:divBdr>
        <w:top w:val="none" w:sz="0" w:space="0" w:color="auto"/>
        <w:left w:val="none" w:sz="0" w:space="0" w:color="auto"/>
        <w:bottom w:val="none" w:sz="0" w:space="0" w:color="auto"/>
        <w:right w:val="none" w:sz="0" w:space="0" w:color="auto"/>
      </w:divBdr>
    </w:div>
    <w:div w:id="1310280075">
      <w:bodyDiv w:val="1"/>
      <w:marLeft w:val="0"/>
      <w:marRight w:val="0"/>
      <w:marTop w:val="0"/>
      <w:marBottom w:val="0"/>
      <w:divBdr>
        <w:top w:val="none" w:sz="0" w:space="0" w:color="auto"/>
        <w:left w:val="none" w:sz="0" w:space="0" w:color="auto"/>
        <w:bottom w:val="none" w:sz="0" w:space="0" w:color="auto"/>
        <w:right w:val="none" w:sz="0" w:space="0" w:color="auto"/>
      </w:divBdr>
    </w:div>
    <w:div w:id="1315455006">
      <w:bodyDiv w:val="1"/>
      <w:marLeft w:val="0"/>
      <w:marRight w:val="0"/>
      <w:marTop w:val="0"/>
      <w:marBottom w:val="0"/>
      <w:divBdr>
        <w:top w:val="none" w:sz="0" w:space="0" w:color="auto"/>
        <w:left w:val="none" w:sz="0" w:space="0" w:color="auto"/>
        <w:bottom w:val="none" w:sz="0" w:space="0" w:color="auto"/>
        <w:right w:val="none" w:sz="0" w:space="0" w:color="auto"/>
      </w:divBdr>
    </w:div>
    <w:div w:id="1321616266">
      <w:bodyDiv w:val="1"/>
      <w:marLeft w:val="0"/>
      <w:marRight w:val="0"/>
      <w:marTop w:val="0"/>
      <w:marBottom w:val="0"/>
      <w:divBdr>
        <w:top w:val="none" w:sz="0" w:space="0" w:color="auto"/>
        <w:left w:val="none" w:sz="0" w:space="0" w:color="auto"/>
        <w:bottom w:val="none" w:sz="0" w:space="0" w:color="auto"/>
        <w:right w:val="none" w:sz="0" w:space="0" w:color="auto"/>
      </w:divBdr>
    </w:div>
    <w:div w:id="1342270720">
      <w:bodyDiv w:val="1"/>
      <w:marLeft w:val="0"/>
      <w:marRight w:val="0"/>
      <w:marTop w:val="0"/>
      <w:marBottom w:val="0"/>
      <w:divBdr>
        <w:top w:val="none" w:sz="0" w:space="0" w:color="auto"/>
        <w:left w:val="none" w:sz="0" w:space="0" w:color="auto"/>
        <w:bottom w:val="none" w:sz="0" w:space="0" w:color="auto"/>
        <w:right w:val="none" w:sz="0" w:space="0" w:color="auto"/>
      </w:divBdr>
    </w:div>
    <w:div w:id="1358383497">
      <w:bodyDiv w:val="1"/>
      <w:marLeft w:val="0"/>
      <w:marRight w:val="0"/>
      <w:marTop w:val="0"/>
      <w:marBottom w:val="0"/>
      <w:divBdr>
        <w:top w:val="none" w:sz="0" w:space="0" w:color="auto"/>
        <w:left w:val="none" w:sz="0" w:space="0" w:color="auto"/>
        <w:bottom w:val="none" w:sz="0" w:space="0" w:color="auto"/>
        <w:right w:val="none" w:sz="0" w:space="0" w:color="auto"/>
      </w:divBdr>
    </w:div>
    <w:div w:id="1403334966">
      <w:bodyDiv w:val="1"/>
      <w:marLeft w:val="0"/>
      <w:marRight w:val="0"/>
      <w:marTop w:val="0"/>
      <w:marBottom w:val="0"/>
      <w:divBdr>
        <w:top w:val="none" w:sz="0" w:space="0" w:color="auto"/>
        <w:left w:val="none" w:sz="0" w:space="0" w:color="auto"/>
        <w:bottom w:val="none" w:sz="0" w:space="0" w:color="auto"/>
        <w:right w:val="none" w:sz="0" w:space="0" w:color="auto"/>
      </w:divBdr>
    </w:div>
    <w:div w:id="1422682463">
      <w:bodyDiv w:val="1"/>
      <w:marLeft w:val="0"/>
      <w:marRight w:val="0"/>
      <w:marTop w:val="0"/>
      <w:marBottom w:val="0"/>
      <w:divBdr>
        <w:top w:val="none" w:sz="0" w:space="0" w:color="auto"/>
        <w:left w:val="none" w:sz="0" w:space="0" w:color="auto"/>
        <w:bottom w:val="none" w:sz="0" w:space="0" w:color="auto"/>
        <w:right w:val="none" w:sz="0" w:space="0" w:color="auto"/>
      </w:divBdr>
    </w:div>
    <w:div w:id="1426731468">
      <w:bodyDiv w:val="1"/>
      <w:marLeft w:val="0"/>
      <w:marRight w:val="0"/>
      <w:marTop w:val="0"/>
      <w:marBottom w:val="0"/>
      <w:divBdr>
        <w:top w:val="none" w:sz="0" w:space="0" w:color="auto"/>
        <w:left w:val="none" w:sz="0" w:space="0" w:color="auto"/>
        <w:bottom w:val="none" w:sz="0" w:space="0" w:color="auto"/>
        <w:right w:val="none" w:sz="0" w:space="0" w:color="auto"/>
      </w:divBdr>
    </w:div>
    <w:div w:id="1480686739">
      <w:bodyDiv w:val="1"/>
      <w:marLeft w:val="0"/>
      <w:marRight w:val="0"/>
      <w:marTop w:val="0"/>
      <w:marBottom w:val="0"/>
      <w:divBdr>
        <w:top w:val="none" w:sz="0" w:space="0" w:color="auto"/>
        <w:left w:val="none" w:sz="0" w:space="0" w:color="auto"/>
        <w:bottom w:val="none" w:sz="0" w:space="0" w:color="auto"/>
        <w:right w:val="none" w:sz="0" w:space="0" w:color="auto"/>
      </w:divBdr>
    </w:div>
    <w:div w:id="1484078832">
      <w:bodyDiv w:val="1"/>
      <w:marLeft w:val="0"/>
      <w:marRight w:val="0"/>
      <w:marTop w:val="0"/>
      <w:marBottom w:val="0"/>
      <w:divBdr>
        <w:top w:val="none" w:sz="0" w:space="0" w:color="auto"/>
        <w:left w:val="none" w:sz="0" w:space="0" w:color="auto"/>
        <w:bottom w:val="none" w:sz="0" w:space="0" w:color="auto"/>
        <w:right w:val="none" w:sz="0" w:space="0" w:color="auto"/>
      </w:divBdr>
    </w:div>
    <w:div w:id="1485272839">
      <w:bodyDiv w:val="1"/>
      <w:marLeft w:val="0"/>
      <w:marRight w:val="0"/>
      <w:marTop w:val="0"/>
      <w:marBottom w:val="0"/>
      <w:divBdr>
        <w:top w:val="none" w:sz="0" w:space="0" w:color="auto"/>
        <w:left w:val="none" w:sz="0" w:space="0" w:color="auto"/>
        <w:bottom w:val="none" w:sz="0" w:space="0" w:color="auto"/>
        <w:right w:val="none" w:sz="0" w:space="0" w:color="auto"/>
      </w:divBdr>
    </w:div>
    <w:div w:id="1493448058">
      <w:bodyDiv w:val="1"/>
      <w:marLeft w:val="0"/>
      <w:marRight w:val="0"/>
      <w:marTop w:val="0"/>
      <w:marBottom w:val="0"/>
      <w:divBdr>
        <w:top w:val="none" w:sz="0" w:space="0" w:color="auto"/>
        <w:left w:val="none" w:sz="0" w:space="0" w:color="auto"/>
        <w:bottom w:val="none" w:sz="0" w:space="0" w:color="auto"/>
        <w:right w:val="none" w:sz="0" w:space="0" w:color="auto"/>
      </w:divBdr>
    </w:div>
    <w:div w:id="1512255542">
      <w:bodyDiv w:val="1"/>
      <w:marLeft w:val="0"/>
      <w:marRight w:val="0"/>
      <w:marTop w:val="0"/>
      <w:marBottom w:val="0"/>
      <w:divBdr>
        <w:top w:val="none" w:sz="0" w:space="0" w:color="auto"/>
        <w:left w:val="none" w:sz="0" w:space="0" w:color="auto"/>
        <w:bottom w:val="none" w:sz="0" w:space="0" w:color="auto"/>
        <w:right w:val="none" w:sz="0" w:space="0" w:color="auto"/>
      </w:divBdr>
    </w:div>
    <w:div w:id="1515146373">
      <w:bodyDiv w:val="1"/>
      <w:marLeft w:val="0"/>
      <w:marRight w:val="0"/>
      <w:marTop w:val="0"/>
      <w:marBottom w:val="0"/>
      <w:divBdr>
        <w:top w:val="none" w:sz="0" w:space="0" w:color="auto"/>
        <w:left w:val="none" w:sz="0" w:space="0" w:color="auto"/>
        <w:bottom w:val="none" w:sz="0" w:space="0" w:color="auto"/>
        <w:right w:val="none" w:sz="0" w:space="0" w:color="auto"/>
      </w:divBdr>
    </w:div>
    <w:div w:id="1602028066">
      <w:bodyDiv w:val="1"/>
      <w:marLeft w:val="0"/>
      <w:marRight w:val="0"/>
      <w:marTop w:val="0"/>
      <w:marBottom w:val="0"/>
      <w:divBdr>
        <w:top w:val="none" w:sz="0" w:space="0" w:color="auto"/>
        <w:left w:val="none" w:sz="0" w:space="0" w:color="auto"/>
        <w:bottom w:val="none" w:sz="0" w:space="0" w:color="auto"/>
        <w:right w:val="none" w:sz="0" w:space="0" w:color="auto"/>
      </w:divBdr>
    </w:div>
    <w:div w:id="1627928423">
      <w:bodyDiv w:val="1"/>
      <w:marLeft w:val="0"/>
      <w:marRight w:val="0"/>
      <w:marTop w:val="0"/>
      <w:marBottom w:val="0"/>
      <w:divBdr>
        <w:top w:val="none" w:sz="0" w:space="0" w:color="auto"/>
        <w:left w:val="none" w:sz="0" w:space="0" w:color="auto"/>
        <w:bottom w:val="none" w:sz="0" w:space="0" w:color="auto"/>
        <w:right w:val="none" w:sz="0" w:space="0" w:color="auto"/>
      </w:divBdr>
    </w:div>
    <w:div w:id="1698041056">
      <w:bodyDiv w:val="1"/>
      <w:marLeft w:val="0"/>
      <w:marRight w:val="0"/>
      <w:marTop w:val="0"/>
      <w:marBottom w:val="0"/>
      <w:divBdr>
        <w:top w:val="none" w:sz="0" w:space="0" w:color="auto"/>
        <w:left w:val="none" w:sz="0" w:space="0" w:color="auto"/>
        <w:bottom w:val="none" w:sz="0" w:space="0" w:color="auto"/>
        <w:right w:val="none" w:sz="0" w:space="0" w:color="auto"/>
      </w:divBdr>
    </w:div>
    <w:div w:id="1698893755">
      <w:bodyDiv w:val="1"/>
      <w:marLeft w:val="0"/>
      <w:marRight w:val="0"/>
      <w:marTop w:val="0"/>
      <w:marBottom w:val="0"/>
      <w:divBdr>
        <w:top w:val="none" w:sz="0" w:space="0" w:color="auto"/>
        <w:left w:val="none" w:sz="0" w:space="0" w:color="auto"/>
        <w:bottom w:val="none" w:sz="0" w:space="0" w:color="auto"/>
        <w:right w:val="none" w:sz="0" w:space="0" w:color="auto"/>
      </w:divBdr>
    </w:div>
    <w:div w:id="1768766850">
      <w:bodyDiv w:val="1"/>
      <w:marLeft w:val="0"/>
      <w:marRight w:val="0"/>
      <w:marTop w:val="0"/>
      <w:marBottom w:val="0"/>
      <w:divBdr>
        <w:top w:val="none" w:sz="0" w:space="0" w:color="auto"/>
        <w:left w:val="none" w:sz="0" w:space="0" w:color="auto"/>
        <w:bottom w:val="none" w:sz="0" w:space="0" w:color="auto"/>
        <w:right w:val="none" w:sz="0" w:space="0" w:color="auto"/>
      </w:divBdr>
    </w:div>
    <w:div w:id="1816684034">
      <w:bodyDiv w:val="1"/>
      <w:marLeft w:val="0"/>
      <w:marRight w:val="0"/>
      <w:marTop w:val="0"/>
      <w:marBottom w:val="0"/>
      <w:divBdr>
        <w:top w:val="none" w:sz="0" w:space="0" w:color="auto"/>
        <w:left w:val="none" w:sz="0" w:space="0" w:color="auto"/>
        <w:bottom w:val="none" w:sz="0" w:space="0" w:color="auto"/>
        <w:right w:val="none" w:sz="0" w:space="0" w:color="auto"/>
      </w:divBdr>
    </w:div>
    <w:div w:id="1850485793">
      <w:bodyDiv w:val="1"/>
      <w:marLeft w:val="0"/>
      <w:marRight w:val="0"/>
      <w:marTop w:val="0"/>
      <w:marBottom w:val="0"/>
      <w:divBdr>
        <w:top w:val="none" w:sz="0" w:space="0" w:color="auto"/>
        <w:left w:val="none" w:sz="0" w:space="0" w:color="auto"/>
        <w:bottom w:val="none" w:sz="0" w:space="0" w:color="auto"/>
        <w:right w:val="none" w:sz="0" w:space="0" w:color="auto"/>
      </w:divBdr>
    </w:div>
    <w:div w:id="1859931774">
      <w:bodyDiv w:val="1"/>
      <w:marLeft w:val="0"/>
      <w:marRight w:val="0"/>
      <w:marTop w:val="0"/>
      <w:marBottom w:val="0"/>
      <w:divBdr>
        <w:top w:val="none" w:sz="0" w:space="0" w:color="auto"/>
        <w:left w:val="none" w:sz="0" w:space="0" w:color="auto"/>
        <w:bottom w:val="none" w:sz="0" w:space="0" w:color="auto"/>
        <w:right w:val="none" w:sz="0" w:space="0" w:color="auto"/>
      </w:divBdr>
    </w:div>
    <w:div w:id="1868906191">
      <w:bodyDiv w:val="1"/>
      <w:marLeft w:val="0"/>
      <w:marRight w:val="0"/>
      <w:marTop w:val="0"/>
      <w:marBottom w:val="0"/>
      <w:divBdr>
        <w:top w:val="none" w:sz="0" w:space="0" w:color="auto"/>
        <w:left w:val="none" w:sz="0" w:space="0" w:color="auto"/>
        <w:bottom w:val="none" w:sz="0" w:space="0" w:color="auto"/>
        <w:right w:val="none" w:sz="0" w:space="0" w:color="auto"/>
      </w:divBdr>
    </w:div>
    <w:div w:id="1916208320">
      <w:bodyDiv w:val="1"/>
      <w:marLeft w:val="0"/>
      <w:marRight w:val="0"/>
      <w:marTop w:val="0"/>
      <w:marBottom w:val="0"/>
      <w:divBdr>
        <w:top w:val="none" w:sz="0" w:space="0" w:color="auto"/>
        <w:left w:val="none" w:sz="0" w:space="0" w:color="auto"/>
        <w:bottom w:val="none" w:sz="0" w:space="0" w:color="auto"/>
        <w:right w:val="none" w:sz="0" w:space="0" w:color="auto"/>
      </w:divBdr>
    </w:div>
    <w:div w:id="1916469947">
      <w:bodyDiv w:val="1"/>
      <w:marLeft w:val="0"/>
      <w:marRight w:val="0"/>
      <w:marTop w:val="0"/>
      <w:marBottom w:val="0"/>
      <w:divBdr>
        <w:top w:val="none" w:sz="0" w:space="0" w:color="auto"/>
        <w:left w:val="none" w:sz="0" w:space="0" w:color="auto"/>
        <w:bottom w:val="none" w:sz="0" w:space="0" w:color="auto"/>
        <w:right w:val="none" w:sz="0" w:space="0" w:color="auto"/>
      </w:divBdr>
    </w:div>
    <w:div w:id="1999336603">
      <w:bodyDiv w:val="1"/>
      <w:marLeft w:val="0"/>
      <w:marRight w:val="0"/>
      <w:marTop w:val="0"/>
      <w:marBottom w:val="0"/>
      <w:divBdr>
        <w:top w:val="none" w:sz="0" w:space="0" w:color="auto"/>
        <w:left w:val="none" w:sz="0" w:space="0" w:color="auto"/>
        <w:bottom w:val="none" w:sz="0" w:space="0" w:color="auto"/>
        <w:right w:val="none" w:sz="0" w:space="0" w:color="auto"/>
      </w:divBdr>
    </w:div>
    <w:div w:id="2062902917">
      <w:bodyDiv w:val="1"/>
      <w:marLeft w:val="0"/>
      <w:marRight w:val="0"/>
      <w:marTop w:val="0"/>
      <w:marBottom w:val="0"/>
      <w:divBdr>
        <w:top w:val="none" w:sz="0" w:space="0" w:color="auto"/>
        <w:left w:val="none" w:sz="0" w:space="0" w:color="auto"/>
        <w:bottom w:val="none" w:sz="0" w:space="0" w:color="auto"/>
        <w:right w:val="none" w:sz="0" w:space="0" w:color="auto"/>
      </w:divBdr>
    </w:div>
    <w:div w:id="2109503078">
      <w:bodyDiv w:val="1"/>
      <w:marLeft w:val="0"/>
      <w:marRight w:val="0"/>
      <w:marTop w:val="0"/>
      <w:marBottom w:val="0"/>
      <w:divBdr>
        <w:top w:val="none" w:sz="0" w:space="0" w:color="auto"/>
        <w:left w:val="none" w:sz="0" w:space="0" w:color="auto"/>
        <w:bottom w:val="none" w:sz="0" w:space="0" w:color="auto"/>
        <w:right w:val="none" w:sz="0" w:space="0" w:color="auto"/>
      </w:divBdr>
    </w:div>
    <w:div w:id="2116173771">
      <w:bodyDiv w:val="1"/>
      <w:marLeft w:val="0"/>
      <w:marRight w:val="0"/>
      <w:marTop w:val="0"/>
      <w:marBottom w:val="0"/>
      <w:divBdr>
        <w:top w:val="none" w:sz="0" w:space="0" w:color="auto"/>
        <w:left w:val="none" w:sz="0" w:space="0" w:color="auto"/>
        <w:bottom w:val="none" w:sz="0" w:space="0" w:color="auto"/>
        <w:right w:val="none" w:sz="0" w:space="0" w:color="auto"/>
      </w:divBdr>
    </w:div>
    <w:div w:id="2124493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ritime.gov.pf" TargetMode="External"/><Relationship Id="rId3" Type="http://schemas.openxmlformats.org/officeDocument/2006/relationships/styles" Target="styles.xml"/><Relationship Id="rId7" Type="http://schemas.openxmlformats.org/officeDocument/2006/relationships/hyperlink" Target="http://www.service-public.pf/dpa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2AEB45-EB0C-45B3-8C33-56D9CD6B15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3419</Words>
  <Characters>18809</Characters>
  <Application>Microsoft Office Word</Application>
  <DocSecurity>0</DocSecurity>
  <Lines>156</Lines>
  <Paragraphs>44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Teheiariki TB. EBB</dc:creator>
  <cp:keywords/>
  <dc:description/>
  <cp:lastModifiedBy>Thibault TM. MARAIS</cp:lastModifiedBy>
  <cp:revision>2</cp:revision>
  <dcterms:created xsi:type="dcterms:W3CDTF">2021-08-26T01:44:00Z</dcterms:created>
  <dcterms:modified xsi:type="dcterms:W3CDTF">2021-08-26T01:44:00Z</dcterms:modified>
</cp:coreProperties>
</file>