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1257C3B1" w:rsidR="00625270" w:rsidRPr="00964474" w:rsidRDefault="00CF74FD" w:rsidP="00964474">
      <w:pPr>
        <w:tabs>
          <w:tab w:val="left" w:pos="3240"/>
        </w:tabs>
        <w:jc w:val="center"/>
        <w:rPr>
          <w:rFonts w:ascii="Cambria" w:hAnsi="Cambria" w:cs="Arial"/>
          <w:b/>
          <w:i/>
        </w:rPr>
      </w:pPr>
      <w:r>
        <w:rPr>
          <w:rFonts w:ascii="Cambria" w:hAnsi="Cambria" w:cs="Arial"/>
          <w:b/>
          <w:i/>
        </w:rPr>
        <w:t>Mercredi</w:t>
      </w:r>
      <w:r w:rsidR="00625270" w:rsidRPr="00964474">
        <w:rPr>
          <w:rFonts w:ascii="Cambria" w:hAnsi="Cambria" w:cs="Arial"/>
          <w:b/>
          <w:i/>
        </w:rPr>
        <w:t xml:space="preserve"> </w:t>
      </w:r>
      <w:r w:rsidR="005D5D56">
        <w:rPr>
          <w:rFonts w:ascii="Cambria" w:hAnsi="Cambria" w:cs="Arial"/>
          <w:b/>
          <w:i/>
        </w:rPr>
        <w:t>15</w:t>
      </w:r>
      <w:r w:rsidR="00884D56">
        <w:rPr>
          <w:rFonts w:ascii="Cambria" w:hAnsi="Cambria" w:cs="Arial"/>
          <w:b/>
          <w:i/>
        </w:rPr>
        <w:t xml:space="preserve"> septembre</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26980076" w:rsidR="00625270" w:rsidRDefault="00625270" w:rsidP="00964474">
      <w:pPr>
        <w:overflowPunct w:val="0"/>
        <w:autoSpaceDE w:val="0"/>
        <w:autoSpaceDN w:val="0"/>
        <w:adjustRightInd w:val="0"/>
        <w:spacing w:before="120"/>
        <w:jc w:val="both"/>
        <w:rPr>
          <w:rFonts w:ascii="Cambria" w:hAnsi="Cambria"/>
          <w:b/>
          <w:lang w:eastAsia="fr-FR"/>
        </w:rPr>
      </w:pPr>
    </w:p>
    <w:p w14:paraId="30567AC5" w14:textId="77777777" w:rsidR="001D17A4" w:rsidRPr="00964474" w:rsidRDefault="001D17A4"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013FEBA0" w14:textId="11E1A437" w:rsidR="00E226B8" w:rsidRDefault="00E226B8" w:rsidP="00E226B8">
      <w:pPr>
        <w:pStyle w:val="-LettreTexteGEDA"/>
        <w:spacing w:before="0"/>
        <w:ind w:firstLine="0"/>
        <w:rPr>
          <w:rFonts w:ascii="Cambria" w:hAnsi="Cambria"/>
          <w:b/>
          <w:bCs/>
          <w:noProof w:val="0"/>
          <w:szCs w:val="24"/>
        </w:rPr>
      </w:pPr>
    </w:p>
    <w:p w14:paraId="208CD689" w14:textId="77777777" w:rsidR="005D5D56" w:rsidRDefault="005D5D56" w:rsidP="005D5D56">
      <w:pPr>
        <w:pStyle w:val="NormalWeb"/>
        <w:jc w:val="both"/>
        <w:rPr>
          <w:rFonts w:ascii="Cambria" w:hAnsi="Cambria"/>
          <w:b/>
          <w:bCs/>
        </w:rPr>
      </w:pPr>
    </w:p>
    <w:p w14:paraId="389D531E" w14:textId="3A72C188" w:rsidR="005D5D56" w:rsidRDefault="005D5D56" w:rsidP="005D5D56">
      <w:pPr>
        <w:pStyle w:val="NormalWeb"/>
        <w:jc w:val="both"/>
        <w:rPr>
          <w:rFonts w:ascii="Cambria" w:hAnsi="Cambria"/>
          <w:b/>
          <w:bCs/>
        </w:rPr>
      </w:pPr>
      <w:r w:rsidRPr="005D5D56">
        <w:rPr>
          <w:rFonts w:ascii="Cambria" w:hAnsi="Cambria"/>
          <w:b/>
          <w:bCs/>
        </w:rPr>
        <w:t xml:space="preserve">Soutien aux </w:t>
      </w:r>
      <w:proofErr w:type="gramStart"/>
      <w:r w:rsidRPr="005D5D56">
        <w:rPr>
          <w:rFonts w:ascii="Cambria" w:hAnsi="Cambria"/>
          <w:b/>
          <w:bCs/>
        </w:rPr>
        <w:t>municipalités:</w:t>
      </w:r>
      <w:proofErr w:type="gramEnd"/>
      <w:r w:rsidRPr="005D5D56">
        <w:rPr>
          <w:rFonts w:ascii="Cambria" w:hAnsi="Cambria"/>
          <w:b/>
          <w:bCs/>
        </w:rPr>
        <w:t xml:space="preserve"> subventions de la Délégation au développement des communes</w:t>
      </w:r>
    </w:p>
    <w:p w14:paraId="5F775180" w14:textId="77777777" w:rsidR="00E26290" w:rsidRPr="005D5D56" w:rsidRDefault="00E26290" w:rsidP="005D5D56">
      <w:pPr>
        <w:pStyle w:val="NormalWeb"/>
        <w:jc w:val="both"/>
        <w:rPr>
          <w:rFonts w:ascii="Cambria" w:hAnsi="Cambria"/>
          <w:b/>
          <w:bCs/>
        </w:rPr>
      </w:pPr>
    </w:p>
    <w:p w14:paraId="3C016661" w14:textId="1CC17ABF" w:rsidR="005D5D56" w:rsidRPr="005D5D56" w:rsidRDefault="005D5D56" w:rsidP="005D5D56">
      <w:pPr>
        <w:pStyle w:val="NormalWeb"/>
        <w:jc w:val="both"/>
        <w:rPr>
          <w:rFonts w:ascii="Cambria" w:hAnsi="Cambria"/>
        </w:rPr>
      </w:pPr>
      <w:r w:rsidRPr="005D5D56">
        <w:rPr>
          <w:rFonts w:ascii="Cambria" w:hAnsi="Cambria"/>
        </w:rPr>
        <w:t>Le Conseil des ministres a adopté six nouveaux octrois de financement d’opérations d’investissement communaux.</w:t>
      </w:r>
    </w:p>
    <w:p w14:paraId="5D3826EB" w14:textId="6FADC9B7" w:rsidR="005D5D56" w:rsidRPr="005D5D56" w:rsidRDefault="005D5D56" w:rsidP="005D5D56">
      <w:pPr>
        <w:pStyle w:val="NormalWeb"/>
        <w:jc w:val="both"/>
        <w:rPr>
          <w:rFonts w:ascii="Cambria" w:hAnsi="Cambria"/>
        </w:rPr>
      </w:pPr>
      <w:r w:rsidRPr="005D5D56">
        <w:rPr>
          <w:rFonts w:ascii="Cambria" w:hAnsi="Cambria"/>
        </w:rPr>
        <w:t>Au titre de la convention relative à des bâtiments publics pouvant servir d’abris de survie dans l’archipel des îles Tuamotu en cas de survenance d’un événement météorologique majeur, deux subventions ont été accordées aux communes de Fakarava et de Rangiroa pour les études de conception en vue de la construction de leurs centres d’incendie et de secours. La participation du Pays est de 47,5% pour chacune de ces opérations, à parité égale avec l’Etat. Son montant s’élève à 4</w:t>
      </w:r>
      <w:r w:rsidR="00E26290">
        <w:rPr>
          <w:rFonts w:ascii="Cambria" w:hAnsi="Cambria"/>
        </w:rPr>
        <w:t>,</w:t>
      </w:r>
      <w:r w:rsidRPr="005D5D56">
        <w:rPr>
          <w:rFonts w:ascii="Cambria" w:hAnsi="Cambria"/>
        </w:rPr>
        <w:t xml:space="preserve">8 millions </w:t>
      </w:r>
      <w:proofErr w:type="spellStart"/>
      <w:r w:rsidRPr="005D5D56">
        <w:rPr>
          <w:rFonts w:ascii="Cambria" w:hAnsi="Cambria"/>
        </w:rPr>
        <w:t>Fcfp</w:t>
      </w:r>
      <w:proofErr w:type="spellEnd"/>
      <w:r w:rsidRPr="005D5D56">
        <w:rPr>
          <w:rFonts w:ascii="Cambria" w:hAnsi="Cambria"/>
        </w:rPr>
        <w:t xml:space="preserve"> pour Fakarava et à 6</w:t>
      </w:r>
      <w:r w:rsidR="00E26290">
        <w:rPr>
          <w:rFonts w:ascii="Cambria" w:hAnsi="Cambria"/>
        </w:rPr>
        <w:t>,</w:t>
      </w:r>
      <w:r w:rsidRPr="005D5D56">
        <w:rPr>
          <w:rFonts w:ascii="Cambria" w:hAnsi="Cambria"/>
        </w:rPr>
        <w:t xml:space="preserve">1 millions </w:t>
      </w:r>
      <w:proofErr w:type="spellStart"/>
      <w:r w:rsidRPr="005D5D56">
        <w:rPr>
          <w:rFonts w:ascii="Cambria" w:hAnsi="Cambria"/>
        </w:rPr>
        <w:t>Fcfp</w:t>
      </w:r>
      <w:proofErr w:type="spellEnd"/>
      <w:r w:rsidRPr="005D5D56">
        <w:rPr>
          <w:rFonts w:ascii="Cambria" w:hAnsi="Cambria"/>
        </w:rPr>
        <w:t xml:space="preserve"> pour Rangiroa. Il s’agit là des premières opérations financées au titre de cette nouvelle convention signée le 29 avril </w:t>
      </w:r>
      <w:r w:rsidR="00E26290">
        <w:rPr>
          <w:rFonts w:ascii="Cambria" w:hAnsi="Cambria"/>
        </w:rPr>
        <w:t>dernier</w:t>
      </w:r>
      <w:r w:rsidRPr="005D5D56">
        <w:rPr>
          <w:rFonts w:ascii="Cambria" w:hAnsi="Cambria"/>
        </w:rPr>
        <w:t>.</w:t>
      </w:r>
    </w:p>
    <w:p w14:paraId="66904128" w14:textId="270F364D" w:rsidR="005D5D56" w:rsidRPr="005D5D56" w:rsidRDefault="005D5D56" w:rsidP="005D5D56">
      <w:pPr>
        <w:pStyle w:val="NormalWeb"/>
        <w:jc w:val="both"/>
        <w:rPr>
          <w:rFonts w:ascii="Cambria" w:hAnsi="Cambria"/>
        </w:rPr>
      </w:pPr>
      <w:r w:rsidRPr="005D5D56">
        <w:rPr>
          <w:rFonts w:ascii="Cambria" w:hAnsi="Cambria"/>
        </w:rPr>
        <w:t xml:space="preserve">Au titre des financements du Pays pour les opérations d’investissement communaux, le </w:t>
      </w:r>
      <w:r w:rsidR="00E26290">
        <w:rPr>
          <w:rFonts w:ascii="Cambria" w:hAnsi="Cambria"/>
        </w:rPr>
        <w:t>C</w:t>
      </w:r>
      <w:r w:rsidRPr="005D5D56">
        <w:rPr>
          <w:rFonts w:ascii="Cambria" w:hAnsi="Cambria"/>
        </w:rPr>
        <w:t xml:space="preserve">onseil des ministres a adopté quatre octrois représentant une enveloppe de 115 millions </w:t>
      </w:r>
      <w:proofErr w:type="spellStart"/>
      <w:r w:rsidRPr="005D5D56">
        <w:rPr>
          <w:rFonts w:ascii="Cambria" w:hAnsi="Cambria"/>
        </w:rPr>
        <w:t>Fcfp</w:t>
      </w:r>
      <w:proofErr w:type="spellEnd"/>
      <w:r w:rsidR="00E26290">
        <w:rPr>
          <w:rFonts w:ascii="Cambria" w:hAnsi="Cambria"/>
        </w:rPr>
        <w:t>,</w:t>
      </w:r>
      <w:r w:rsidRPr="005D5D56">
        <w:rPr>
          <w:rFonts w:ascii="Cambria" w:hAnsi="Cambria"/>
        </w:rPr>
        <w:t xml:space="preserve"> sur un montant total d’investissement de 241 millions </w:t>
      </w:r>
      <w:proofErr w:type="spellStart"/>
      <w:r w:rsidRPr="005D5D56">
        <w:rPr>
          <w:rFonts w:ascii="Cambria" w:hAnsi="Cambria"/>
        </w:rPr>
        <w:t>Fcfp</w:t>
      </w:r>
      <w:proofErr w:type="spellEnd"/>
      <w:r w:rsidRPr="005D5D56">
        <w:rPr>
          <w:rFonts w:ascii="Cambria" w:hAnsi="Cambria"/>
        </w:rPr>
        <w:t>, soit une contribution du Pays de 47.7 %.</w:t>
      </w:r>
      <w:r w:rsidR="00E26290">
        <w:rPr>
          <w:rFonts w:ascii="Cambria" w:hAnsi="Cambria"/>
        </w:rPr>
        <w:t xml:space="preserve"> </w:t>
      </w:r>
      <w:r w:rsidRPr="005D5D56">
        <w:rPr>
          <w:rFonts w:ascii="Cambria" w:hAnsi="Cambria"/>
        </w:rPr>
        <w:t>Ces derniers portent uniquement sur des travaux et constituent les dernières décisions issues de la première session de l’année 2021.</w:t>
      </w:r>
      <w:r w:rsidR="00E26290">
        <w:rPr>
          <w:rFonts w:ascii="Cambria" w:hAnsi="Cambria"/>
        </w:rPr>
        <w:t xml:space="preserve"> </w:t>
      </w:r>
      <w:r w:rsidRPr="005D5D56">
        <w:rPr>
          <w:rFonts w:ascii="Cambria" w:hAnsi="Cambria"/>
        </w:rPr>
        <w:t xml:space="preserve">Les bénéficiaires de ces octrois sont les communes de </w:t>
      </w:r>
      <w:proofErr w:type="spellStart"/>
      <w:r w:rsidRPr="005D5D56">
        <w:rPr>
          <w:rFonts w:ascii="Cambria" w:hAnsi="Cambria"/>
        </w:rPr>
        <w:t>Taputapuatea</w:t>
      </w:r>
      <w:proofErr w:type="spellEnd"/>
      <w:r w:rsidRPr="005D5D56">
        <w:rPr>
          <w:rFonts w:ascii="Cambria" w:hAnsi="Cambria"/>
        </w:rPr>
        <w:t xml:space="preserve">, </w:t>
      </w:r>
      <w:proofErr w:type="spellStart"/>
      <w:r w:rsidRPr="005D5D56">
        <w:rPr>
          <w:rFonts w:ascii="Cambria" w:hAnsi="Cambria"/>
        </w:rPr>
        <w:t>Tumaraa</w:t>
      </w:r>
      <w:proofErr w:type="spellEnd"/>
      <w:r w:rsidRPr="005D5D56">
        <w:rPr>
          <w:rFonts w:ascii="Cambria" w:hAnsi="Cambria"/>
        </w:rPr>
        <w:t xml:space="preserve"> et </w:t>
      </w:r>
      <w:proofErr w:type="spellStart"/>
      <w:r w:rsidRPr="005D5D56">
        <w:rPr>
          <w:rFonts w:ascii="Cambria" w:hAnsi="Cambria"/>
        </w:rPr>
        <w:t>Uturoa</w:t>
      </w:r>
      <w:proofErr w:type="spellEnd"/>
      <w:r w:rsidRPr="005D5D56">
        <w:rPr>
          <w:rFonts w:ascii="Cambria" w:hAnsi="Cambria"/>
        </w:rPr>
        <w:t>.</w:t>
      </w:r>
    </w:p>
    <w:p w14:paraId="472079F1" w14:textId="03B602E4" w:rsidR="005D5D56" w:rsidRPr="005D5D56" w:rsidRDefault="005D5D56" w:rsidP="005D5D56">
      <w:pPr>
        <w:pStyle w:val="NormalWeb"/>
        <w:jc w:val="both"/>
        <w:rPr>
          <w:rFonts w:ascii="Cambria" w:hAnsi="Cambria"/>
        </w:rPr>
      </w:pPr>
      <w:r w:rsidRPr="005D5D56">
        <w:rPr>
          <w:rFonts w:ascii="Cambria" w:hAnsi="Cambria"/>
        </w:rPr>
        <w:t xml:space="preserve">La commune de </w:t>
      </w:r>
      <w:proofErr w:type="spellStart"/>
      <w:r w:rsidRPr="005D5D56">
        <w:rPr>
          <w:rFonts w:ascii="Cambria" w:hAnsi="Cambria"/>
        </w:rPr>
        <w:t>Taputapuatea</w:t>
      </w:r>
      <w:proofErr w:type="spellEnd"/>
      <w:r w:rsidRPr="005D5D56">
        <w:rPr>
          <w:rFonts w:ascii="Cambria" w:hAnsi="Cambria"/>
        </w:rPr>
        <w:t xml:space="preserve"> souhaite reconstruire la mairie annexe d</w:t>
      </w:r>
      <w:r w:rsidR="00E26290">
        <w:rPr>
          <w:rFonts w:ascii="Cambria" w:hAnsi="Cambria"/>
        </w:rPr>
        <w:t>’</w:t>
      </w:r>
      <w:proofErr w:type="spellStart"/>
      <w:r w:rsidRPr="005D5D56">
        <w:rPr>
          <w:rFonts w:ascii="Cambria" w:hAnsi="Cambria"/>
        </w:rPr>
        <w:t>Opoa</w:t>
      </w:r>
      <w:proofErr w:type="spellEnd"/>
      <w:r w:rsidRPr="005D5D56">
        <w:rPr>
          <w:rFonts w:ascii="Cambria" w:hAnsi="Cambria"/>
        </w:rPr>
        <w:t>. En effet, âgée de 40 ans et située près de la mer</w:t>
      </w:r>
      <w:r w:rsidR="00E26290">
        <w:rPr>
          <w:rFonts w:ascii="Cambria" w:hAnsi="Cambria"/>
        </w:rPr>
        <w:t>,</w:t>
      </w:r>
      <w:r w:rsidRPr="005D5D56">
        <w:rPr>
          <w:rFonts w:ascii="Cambria" w:hAnsi="Cambria"/>
        </w:rPr>
        <w:t xml:space="preserve"> celle-ci ne permet plus</w:t>
      </w:r>
      <w:r w:rsidR="00E26290">
        <w:rPr>
          <w:rFonts w:ascii="Cambria" w:hAnsi="Cambria"/>
        </w:rPr>
        <w:t xml:space="preserve">, aujourd’hui, </w:t>
      </w:r>
      <w:r w:rsidRPr="005D5D56">
        <w:rPr>
          <w:rFonts w:ascii="Cambria" w:hAnsi="Cambria"/>
        </w:rPr>
        <w:t xml:space="preserve">l’accueil des administrés dans des conditions convenables. Cette structure permet aux habitants du Sud/Est de l’île d’accéder plus facilement aux services proposés par la commune (régie communale, état-civil, </w:t>
      </w:r>
      <w:proofErr w:type="spellStart"/>
      <w:r w:rsidRPr="005D5D56">
        <w:rPr>
          <w:rFonts w:ascii="Cambria" w:hAnsi="Cambria"/>
        </w:rPr>
        <w:t>etc</w:t>
      </w:r>
      <w:proofErr w:type="spellEnd"/>
      <w:r w:rsidRPr="005D5D56">
        <w:rPr>
          <w:rFonts w:ascii="Cambria" w:hAnsi="Cambria"/>
        </w:rPr>
        <w:t xml:space="preserve">) rapprochant donc le service public de la commune de sa population. Le montant des travaux est évalué à environ 114 millions </w:t>
      </w:r>
      <w:proofErr w:type="spellStart"/>
      <w:r w:rsidRPr="005D5D56">
        <w:rPr>
          <w:rFonts w:ascii="Cambria" w:hAnsi="Cambria"/>
        </w:rPr>
        <w:t>Fcfp</w:t>
      </w:r>
      <w:proofErr w:type="spellEnd"/>
      <w:r w:rsidR="00E26290">
        <w:rPr>
          <w:rFonts w:ascii="Cambria" w:hAnsi="Cambria"/>
        </w:rPr>
        <w:t>,</w:t>
      </w:r>
      <w:r w:rsidRPr="005D5D56">
        <w:rPr>
          <w:rFonts w:ascii="Cambria" w:hAnsi="Cambria"/>
        </w:rPr>
        <w:t xml:space="preserve"> avec une participation du Pays de 57 millions </w:t>
      </w:r>
      <w:proofErr w:type="spellStart"/>
      <w:r w:rsidRPr="005D5D56">
        <w:rPr>
          <w:rFonts w:ascii="Cambria" w:hAnsi="Cambria"/>
        </w:rPr>
        <w:t>Fcfp</w:t>
      </w:r>
      <w:proofErr w:type="spellEnd"/>
      <w:r w:rsidRPr="005D5D56">
        <w:rPr>
          <w:rFonts w:ascii="Cambria" w:hAnsi="Cambria"/>
        </w:rPr>
        <w:t>, soit un taux de 50%.</w:t>
      </w:r>
    </w:p>
    <w:p w14:paraId="43F2E74B" w14:textId="59BC2DA3" w:rsidR="005D5D56" w:rsidRPr="005D5D56" w:rsidRDefault="005D5D56" w:rsidP="005D5D56">
      <w:pPr>
        <w:pStyle w:val="NormalWeb"/>
        <w:jc w:val="both"/>
        <w:rPr>
          <w:rFonts w:ascii="Cambria" w:hAnsi="Cambria"/>
        </w:rPr>
      </w:pPr>
      <w:r w:rsidRPr="005D5D56">
        <w:rPr>
          <w:rFonts w:ascii="Cambria" w:hAnsi="Cambria"/>
        </w:rPr>
        <w:t xml:space="preserve">La commune de </w:t>
      </w:r>
      <w:proofErr w:type="spellStart"/>
      <w:r w:rsidRPr="005D5D56">
        <w:rPr>
          <w:rFonts w:ascii="Cambria" w:hAnsi="Cambria"/>
        </w:rPr>
        <w:t>Tumaraa</w:t>
      </w:r>
      <w:proofErr w:type="spellEnd"/>
      <w:r w:rsidRPr="005D5D56">
        <w:rPr>
          <w:rFonts w:ascii="Cambria" w:hAnsi="Cambria"/>
        </w:rPr>
        <w:t xml:space="preserve"> ne dispose actuellement d’aucun cimetière communal. En effet, les inhumations demeurent autorisées chez les habitants. Afin d’y remédier, la commune de </w:t>
      </w:r>
      <w:proofErr w:type="spellStart"/>
      <w:r w:rsidRPr="005D5D56">
        <w:rPr>
          <w:rFonts w:ascii="Cambria" w:hAnsi="Cambria"/>
        </w:rPr>
        <w:t>Tumaraa</w:t>
      </w:r>
      <w:proofErr w:type="spellEnd"/>
      <w:r w:rsidRPr="005D5D56">
        <w:rPr>
          <w:rFonts w:ascii="Cambria" w:hAnsi="Cambria"/>
        </w:rPr>
        <w:t xml:space="preserve"> envisage de créer des cimetières dans chacune de ses communes associées (</w:t>
      </w:r>
      <w:proofErr w:type="spellStart"/>
      <w:r w:rsidRPr="005D5D56">
        <w:rPr>
          <w:rFonts w:ascii="Cambria" w:hAnsi="Cambria"/>
        </w:rPr>
        <w:t>Tevaitoa</w:t>
      </w:r>
      <w:proofErr w:type="spellEnd"/>
      <w:r w:rsidRPr="005D5D56">
        <w:rPr>
          <w:rFonts w:ascii="Cambria" w:hAnsi="Cambria"/>
        </w:rPr>
        <w:t xml:space="preserve">, </w:t>
      </w:r>
      <w:proofErr w:type="spellStart"/>
      <w:r w:rsidRPr="005D5D56">
        <w:rPr>
          <w:rFonts w:ascii="Cambria" w:hAnsi="Cambria"/>
        </w:rPr>
        <w:t>Tehurui</w:t>
      </w:r>
      <w:proofErr w:type="spellEnd"/>
      <w:r w:rsidRPr="005D5D56">
        <w:rPr>
          <w:rFonts w:ascii="Cambria" w:hAnsi="Cambria"/>
        </w:rPr>
        <w:t xml:space="preserve">, </w:t>
      </w:r>
      <w:proofErr w:type="spellStart"/>
      <w:r w:rsidRPr="005D5D56">
        <w:rPr>
          <w:rFonts w:ascii="Cambria" w:hAnsi="Cambria"/>
        </w:rPr>
        <w:t>Vaiaau</w:t>
      </w:r>
      <w:proofErr w:type="spellEnd"/>
      <w:r w:rsidRPr="005D5D56">
        <w:rPr>
          <w:rFonts w:ascii="Cambria" w:hAnsi="Cambria"/>
        </w:rPr>
        <w:t xml:space="preserve"> et </w:t>
      </w:r>
      <w:proofErr w:type="spellStart"/>
      <w:r w:rsidRPr="005D5D56">
        <w:rPr>
          <w:rFonts w:ascii="Cambria" w:hAnsi="Cambria"/>
        </w:rPr>
        <w:t>Fetuna</w:t>
      </w:r>
      <w:proofErr w:type="spellEnd"/>
      <w:r w:rsidRPr="005D5D56">
        <w:rPr>
          <w:rFonts w:ascii="Cambria" w:hAnsi="Cambria"/>
        </w:rPr>
        <w:t xml:space="preserve">). Les études de conception pour la création d’un cimetière sur </w:t>
      </w:r>
      <w:proofErr w:type="spellStart"/>
      <w:r w:rsidRPr="005D5D56">
        <w:rPr>
          <w:rFonts w:ascii="Cambria" w:hAnsi="Cambria"/>
        </w:rPr>
        <w:t>Fetuna</w:t>
      </w:r>
      <w:proofErr w:type="spellEnd"/>
      <w:r w:rsidRPr="005D5D56">
        <w:rPr>
          <w:rFonts w:ascii="Cambria" w:hAnsi="Cambria"/>
        </w:rPr>
        <w:t xml:space="preserve"> étant à ce jour achevées, la commune de </w:t>
      </w:r>
      <w:proofErr w:type="spellStart"/>
      <w:r w:rsidRPr="005D5D56">
        <w:rPr>
          <w:rFonts w:ascii="Cambria" w:hAnsi="Cambria"/>
        </w:rPr>
        <w:t>Tumaraa</w:t>
      </w:r>
      <w:proofErr w:type="spellEnd"/>
      <w:r w:rsidRPr="005D5D56">
        <w:rPr>
          <w:rFonts w:ascii="Cambria" w:hAnsi="Cambria"/>
        </w:rPr>
        <w:t xml:space="preserve"> souhaite dès à </w:t>
      </w:r>
      <w:r w:rsidRPr="005D5D56">
        <w:rPr>
          <w:rFonts w:ascii="Cambria" w:hAnsi="Cambria"/>
        </w:rPr>
        <w:lastRenderedPageBreak/>
        <w:t xml:space="preserve">présent démarrer les travaux y afférents. Le montant de l’investissement est évalué à environ 44 millions </w:t>
      </w:r>
      <w:proofErr w:type="spellStart"/>
      <w:r w:rsidRPr="005D5D56">
        <w:rPr>
          <w:rFonts w:ascii="Cambria" w:hAnsi="Cambria"/>
        </w:rPr>
        <w:t>Fcfp</w:t>
      </w:r>
      <w:proofErr w:type="spellEnd"/>
      <w:r w:rsidRPr="005D5D56">
        <w:rPr>
          <w:rFonts w:ascii="Cambria" w:hAnsi="Cambria"/>
        </w:rPr>
        <w:t xml:space="preserve"> avec une participation du Pays de 13</w:t>
      </w:r>
      <w:r w:rsidR="00E26290">
        <w:rPr>
          <w:rFonts w:ascii="Cambria" w:hAnsi="Cambria"/>
        </w:rPr>
        <w:t>,</w:t>
      </w:r>
      <w:r w:rsidRPr="005D5D56">
        <w:rPr>
          <w:rFonts w:ascii="Cambria" w:hAnsi="Cambria"/>
        </w:rPr>
        <w:t xml:space="preserve">1 millions de </w:t>
      </w:r>
      <w:proofErr w:type="spellStart"/>
      <w:r w:rsidRPr="005D5D56">
        <w:rPr>
          <w:rFonts w:ascii="Cambria" w:hAnsi="Cambria"/>
        </w:rPr>
        <w:t>Fcfp</w:t>
      </w:r>
      <w:proofErr w:type="spellEnd"/>
      <w:r w:rsidRPr="005D5D56">
        <w:rPr>
          <w:rFonts w:ascii="Cambria" w:hAnsi="Cambria"/>
        </w:rPr>
        <w:t>, soit un taux de 30%.</w:t>
      </w:r>
    </w:p>
    <w:p w14:paraId="0FFDDAD4" w14:textId="16EF664C" w:rsidR="005D5D56" w:rsidRPr="005D5D56" w:rsidRDefault="00E26290" w:rsidP="005D5D56">
      <w:pPr>
        <w:pStyle w:val="NormalWeb"/>
        <w:jc w:val="both"/>
        <w:rPr>
          <w:rFonts w:ascii="Cambria" w:hAnsi="Cambria"/>
        </w:rPr>
      </w:pPr>
      <w:r>
        <w:rPr>
          <w:rFonts w:ascii="Cambria" w:hAnsi="Cambria"/>
        </w:rPr>
        <w:t>L</w:t>
      </w:r>
      <w:r w:rsidR="005D5D56" w:rsidRPr="005D5D56">
        <w:rPr>
          <w:rFonts w:ascii="Cambria" w:hAnsi="Cambria"/>
        </w:rPr>
        <w:t>a commune d</w:t>
      </w:r>
      <w:r>
        <w:rPr>
          <w:rFonts w:ascii="Cambria" w:hAnsi="Cambria"/>
        </w:rPr>
        <w:t>’</w:t>
      </w:r>
      <w:proofErr w:type="spellStart"/>
      <w:r w:rsidR="005D5D56" w:rsidRPr="005D5D56">
        <w:rPr>
          <w:rFonts w:ascii="Cambria" w:hAnsi="Cambria"/>
        </w:rPr>
        <w:t>Uturoa</w:t>
      </w:r>
      <w:proofErr w:type="spellEnd"/>
      <w:r w:rsidR="005D5D56" w:rsidRPr="005D5D56">
        <w:rPr>
          <w:rFonts w:ascii="Cambria" w:hAnsi="Cambria"/>
        </w:rPr>
        <w:t xml:space="preserve"> bénéficie</w:t>
      </w:r>
      <w:r>
        <w:rPr>
          <w:rFonts w:ascii="Cambria" w:hAnsi="Cambria"/>
        </w:rPr>
        <w:t>, pour sa part,</w:t>
      </w:r>
      <w:r w:rsidR="005D5D56" w:rsidRPr="005D5D56">
        <w:rPr>
          <w:rFonts w:ascii="Cambria" w:hAnsi="Cambria"/>
        </w:rPr>
        <w:t xml:space="preserve"> de deux octrois.</w:t>
      </w:r>
      <w:r>
        <w:rPr>
          <w:rFonts w:ascii="Cambria" w:hAnsi="Cambria"/>
        </w:rPr>
        <w:t xml:space="preserve"> </w:t>
      </w:r>
      <w:r w:rsidR="005D5D56" w:rsidRPr="005D5D56">
        <w:rPr>
          <w:rFonts w:ascii="Cambria" w:hAnsi="Cambria"/>
        </w:rPr>
        <w:t xml:space="preserve">Le premier concerne la seconde tranche de l’opération d’aménagement de la voirie </w:t>
      </w:r>
      <w:proofErr w:type="spellStart"/>
      <w:r w:rsidR="005D5D56" w:rsidRPr="005D5D56">
        <w:rPr>
          <w:rFonts w:ascii="Cambria" w:hAnsi="Cambria"/>
        </w:rPr>
        <w:t>Punamoe</w:t>
      </w:r>
      <w:proofErr w:type="spellEnd"/>
      <w:r w:rsidR="005D5D56" w:rsidRPr="005D5D56">
        <w:rPr>
          <w:rFonts w:ascii="Cambria" w:hAnsi="Cambria"/>
        </w:rPr>
        <w:t xml:space="preserve">. Pour rappel, la commune projette l’aménagement de cette voirie d’une longueur totale de 800 mètres linéaires en 3 tranches. Ce début d’année, la commune a bénéficié de la participation du Pays pour la tranche 1 de 250 m. Les travaux de cette tranche 2 s’inscrivent donc dans la continuité de l’opération de bétonnage sur une nouvelle longueur de 275 m. La voirie, dans son état actuel, est impraticable lors de périodes pluvieuses. Aussi, son bétonnage facilitera les missions des services communaux (hydraulique, ordures ménagères, électricité, sécurité-incendie) lors des interventions dans le quartier. Le montant des travaux pour cette seconde partie est évalué à environ 33 millions </w:t>
      </w:r>
      <w:proofErr w:type="spellStart"/>
      <w:r w:rsidR="005D5D56" w:rsidRPr="005D5D56">
        <w:rPr>
          <w:rFonts w:ascii="Cambria" w:hAnsi="Cambria"/>
        </w:rPr>
        <w:t>Fcfp</w:t>
      </w:r>
      <w:proofErr w:type="spellEnd"/>
      <w:r>
        <w:rPr>
          <w:rFonts w:ascii="Cambria" w:hAnsi="Cambria"/>
        </w:rPr>
        <w:t>,</w:t>
      </w:r>
      <w:r w:rsidR="005D5D56" w:rsidRPr="005D5D56">
        <w:rPr>
          <w:rFonts w:ascii="Cambria" w:hAnsi="Cambria"/>
        </w:rPr>
        <w:t xml:space="preserve"> avec une participation du Pays de 19.7 millions de </w:t>
      </w:r>
      <w:proofErr w:type="spellStart"/>
      <w:r w:rsidR="005D5D56" w:rsidRPr="005D5D56">
        <w:rPr>
          <w:rFonts w:ascii="Cambria" w:hAnsi="Cambria"/>
        </w:rPr>
        <w:t>Fcfp</w:t>
      </w:r>
      <w:proofErr w:type="spellEnd"/>
      <w:r w:rsidR="005D5D56" w:rsidRPr="005D5D56">
        <w:rPr>
          <w:rFonts w:ascii="Cambria" w:hAnsi="Cambria"/>
        </w:rPr>
        <w:t>, soit un taux de 60%.</w:t>
      </w:r>
    </w:p>
    <w:p w14:paraId="18C0ABC5" w14:textId="70EFD35D" w:rsidR="005D5D56" w:rsidRPr="005D5D56" w:rsidRDefault="005D5D56" w:rsidP="005D5D56">
      <w:pPr>
        <w:pStyle w:val="NormalWeb"/>
        <w:jc w:val="both"/>
        <w:rPr>
          <w:rFonts w:ascii="Cambria" w:hAnsi="Cambria"/>
        </w:rPr>
      </w:pPr>
      <w:r w:rsidRPr="005D5D56">
        <w:rPr>
          <w:rFonts w:ascii="Cambria" w:hAnsi="Cambria"/>
        </w:rPr>
        <w:t xml:space="preserve">Le second octroi concerne la reconstruction du réservoir d’eau potable de </w:t>
      </w:r>
      <w:proofErr w:type="spellStart"/>
      <w:r w:rsidRPr="005D5D56">
        <w:rPr>
          <w:rFonts w:ascii="Cambria" w:hAnsi="Cambria"/>
        </w:rPr>
        <w:t>Faafau</w:t>
      </w:r>
      <w:proofErr w:type="spellEnd"/>
      <w:r w:rsidRPr="005D5D56">
        <w:rPr>
          <w:rFonts w:ascii="Cambria" w:hAnsi="Cambria"/>
        </w:rPr>
        <w:t>. Pour donner suite à une étude effectuée en 2020 sur l’ensemble de son réseau d’eau, la commune a décidé d’entamer les travaux de reconstruction du réservoir qui est aujourd’hui âgé de 50 ans et hors service. Le futur équipement</w:t>
      </w:r>
      <w:r w:rsidR="00E26290">
        <w:rPr>
          <w:rFonts w:ascii="Cambria" w:hAnsi="Cambria"/>
        </w:rPr>
        <w:t>,</w:t>
      </w:r>
      <w:r w:rsidRPr="005D5D56">
        <w:rPr>
          <w:rFonts w:ascii="Cambria" w:hAnsi="Cambria"/>
        </w:rPr>
        <w:t xml:space="preserve"> d’une capacité de 450</w:t>
      </w:r>
      <w:r w:rsidR="00E26290">
        <w:rPr>
          <w:rFonts w:ascii="Cambria" w:hAnsi="Cambria"/>
        </w:rPr>
        <w:t xml:space="preserve"> </w:t>
      </w:r>
      <w:r w:rsidRPr="005D5D56">
        <w:rPr>
          <w:rFonts w:ascii="Cambria" w:hAnsi="Cambria"/>
        </w:rPr>
        <w:t>m3</w:t>
      </w:r>
      <w:r w:rsidR="00E26290">
        <w:rPr>
          <w:rFonts w:ascii="Cambria" w:hAnsi="Cambria"/>
        </w:rPr>
        <w:t>,</w:t>
      </w:r>
      <w:r w:rsidRPr="005D5D56">
        <w:rPr>
          <w:rFonts w:ascii="Cambria" w:hAnsi="Cambria"/>
        </w:rPr>
        <w:t xml:space="preserve"> permettra une distribution d’eau de qualité et en quantité suffisante pour les administrés des environs. Le coût d’investissement est évalué à près de 50 millions </w:t>
      </w:r>
      <w:proofErr w:type="spellStart"/>
      <w:r w:rsidRPr="005D5D56">
        <w:rPr>
          <w:rFonts w:ascii="Cambria" w:hAnsi="Cambria"/>
        </w:rPr>
        <w:t>Fcfp</w:t>
      </w:r>
      <w:proofErr w:type="spellEnd"/>
      <w:r w:rsidR="00E26290">
        <w:rPr>
          <w:rFonts w:ascii="Cambria" w:hAnsi="Cambria"/>
        </w:rPr>
        <w:t>,</w:t>
      </w:r>
      <w:r w:rsidRPr="005D5D56">
        <w:rPr>
          <w:rFonts w:ascii="Cambria" w:hAnsi="Cambria"/>
        </w:rPr>
        <w:t xml:space="preserve"> dont une participation du Pays à hauteur de 25 millions </w:t>
      </w:r>
      <w:proofErr w:type="spellStart"/>
      <w:r w:rsidRPr="005D5D56">
        <w:rPr>
          <w:rFonts w:ascii="Cambria" w:hAnsi="Cambria"/>
        </w:rPr>
        <w:t>Fcfp</w:t>
      </w:r>
      <w:proofErr w:type="spellEnd"/>
      <w:r w:rsidRPr="005D5D56">
        <w:rPr>
          <w:rFonts w:ascii="Cambria" w:hAnsi="Cambria"/>
        </w:rPr>
        <w:t>, soit un taux de 50%.</w:t>
      </w:r>
    </w:p>
    <w:p w14:paraId="328A533F" w14:textId="703416D7" w:rsidR="005D5D56" w:rsidRPr="005D5D56" w:rsidRDefault="005D5D56" w:rsidP="005D5D56">
      <w:pPr>
        <w:pStyle w:val="NormalWeb"/>
        <w:jc w:val="both"/>
        <w:rPr>
          <w:rFonts w:ascii="Cambria" w:hAnsi="Cambria"/>
        </w:rPr>
      </w:pPr>
      <w:r w:rsidRPr="005D5D56">
        <w:rPr>
          <w:rFonts w:ascii="Cambria" w:hAnsi="Cambria"/>
        </w:rPr>
        <w:t xml:space="preserve">Par ces soutiens financiers, le Pays poursuit et maintient sa politique d’accompagnement des communes. Ces aides contribuent notamment, et concrètement, à </w:t>
      </w:r>
      <w:r w:rsidR="00E26290">
        <w:rPr>
          <w:rFonts w:ascii="Cambria" w:hAnsi="Cambria"/>
        </w:rPr>
        <w:t>améliorer</w:t>
      </w:r>
      <w:r w:rsidRPr="005D5D56">
        <w:rPr>
          <w:rFonts w:ascii="Cambria" w:hAnsi="Cambria"/>
        </w:rPr>
        <w:t xml:space="preserve"> la qualité des missions de service public communal, essentielles à la qualité de vie des administrés.</w:t>
      </w:r>
    </w:p>
    <w:p w14:paraId="7FA877F1" w14:textId="458EAD41" w:rsidR="005D5D56" w:rsidRDefault="005D5D56" w:rsidP="005D5D56">
      <w:pPr>
        <w:pStyle w:val="NormalWeb"/>
        <w:jc w:val="both"/>
        <w:rPr>
          <w:rFonts w:ascii="Cambria" w:hAnsi="Cambria"/>
        </w:rPr>
      </w:pPr>
    </w:p>
    <w:p w14:paraId="40C9655D" w14:textId="77777777" w:rsidR="007D75D5" w:rsidRDefault="007D75D5" w:rsidP="007D75D5">
      <w:pPr>
        <w:pStyle w:val="NormalWeb"/>
        <w:jc w:val="both"/>
        <w:rPr>
          <w:rFonts w:ascii="Cambria" w:hAnsi="Cambria"/>
          <w:b/>
          <w:bCs/>
        </w:rPr>
      </w:pPr>
      <w:r>
        <w:rPr>
          <w:rFonts w:ascii="Cambria" w:hAnsi="Cambria"/>
          <w:b/>
          <w:bCs/>
        </w:rPr>
        <w:t>Convention avec l’IFREMER</w:t>
      </w:r>
    </w:p>
    <w:p w14:paraId="09426F2A" w14:textId="77777777" w:rsidR="007D75D5" w:rsidRDefault="007D75D5" w:rsidP="007D75D5">
      <w:pPr>
        <w:pStyle w:val="NormalWeb"/>
        <w:jc w:val="both"/>
        <w:rPr>
          <w:rFonts w:ascii="Cambria" w:hAnsi="Cambria"/>
          <w:b/>
          <w:bCs/>
          <w:sz w:val="22"/>
          <w:szCs w:val="22"/>
        </w:rPr>
      </w:pPr>
    </w:p>
    <w:p w14:paraId="54AF5195" w14:textId="77777777" w:rsidR="007D75D5" w:rsidRDefault="007D75D5" w:rsidP="007D75D5">
      <w:pPr>
        <w:pStyle w:val="NormalWeb"/>
        <w:jc w:val="both"/>
        <w:rPr>
          <w:rFonts w:ascii="Cambria" w:hAnsi="Cambria"/>
        </w:rPr>
      </w:pPr>
      <w:r>
        <w:rPr>
          <w:rFonts w:ascii="Cambria" w:hAnsi="Cambria"/>
        </w:rPr>
        <w:t xml:space="preserve">Le partenariat entre la Polynésie française et l’Institut Français de Recherche pour l’Exploitation en Mer (IFREMER) existe depuis de nombreuses années. Dans ce cadre, une convention portant accord de coopération entre la Polynésie française et l’IFREMER a été conclue à la date du 5 août 2016 pour une durée de cinq années. Cette coopération porte sur les thématiques de recherche liées au développement durable des filières </w:t>
      </w:r>
      <w:proofErr w:type="spellStart"/>
      <w:r>
        <w:rPr>
          <w:rFonts w:ascii="Cambria" w:hAnsi="Cambria"/>
        </w:rPr>
        <w:t>perlicoles</w:t>
      </w:r>
      <w:proofErr w:type="spellEnd"/>
      <w:r>
        <w:rPr>
          <w:rFonts w:ascii="Cambria" w:hAnsi="Cambria"/>
        </w:rPr>
        <w:t xml:space="preserve"> et aquacoles, incluant la qualité sanitaire et environnementale des milieux de production.</w:t>
      </w:r>
    </w:p>
    <w:p w14:paraId="64D9AB3A" w14:textId="77777777" w:rsidR="007D75D5" w:rsidRDefault="007D75D5" w:rsidP="007D75D5">
      <w:pPr>
        <w:pStyle w:val="NormalWeb"/>
        <w:jc w:val="both"/>
        <w:rPr>
          <w:rFonts w:ascii="Cambria" w:hAnsi="Cambria"/>
        </w:rPr>
      </w:pPr>
      <w:r>
        <w:rPr>
          <w:rFonts w:ascii="Cambria" w:hAnsi="Cambria"/>
        </w:rPr>
        <w:t xml:space="preserve">Etant arrivée à son terme, la conclusion d’une nouvelle convention s’avère être indispensable pour poursuivre les travaux scientifiques menés dans les domaines de la perliculture et de l’aquaculture du </w:t>
      </w:r>
      <w:proofErr w:type="spellStart"/>
      <w:r>
        <w:rPr>
          <w:rFonts w:ascii="Cambria" w:hAnsi="Cambria"/>
        </w:rPr>
        <w:t>paraha</w:t>
      </w:r>
      <w:proofErr w:type="spellEnd"/>
      <w:r>
        <w:rPr>
          <w:rFonts w:ascii="Cambria" w:hAnsi="Cambria"/>
        </w:rPr>
        <w:t xml:space="preserve"> </w:t>
      </w:r>
      <w:proofErr w:type="spellStart"/>
      <w:r>
        <w:rPr>
          <w:rFonts w:ascii="Cambria" w:hAnsi="Cambria"/>
        </w:rPr>
        <w:t>peue</w:t>
      </w:r>
      <w:proofErr w:type="spellEnd"/>
      <w:r>
        <w:rPr>
          <w:rFonts w:ascii="Cambria" w:hAnsi="Cambria"/>
        </w:rPr>
        <w:t>, de la crevette bleue et des holothuries.</w:t>
      </w:r>
    </w:p>
    <w:p w14:paraId="0D8AB1B5" w14:textId="77777777" w:rsidR="007D75D5" w:rsidRPr="007D75D5" w:rsidRDefault="007D75D5" w:rsidP="007D75D5">
      <w:pPr>
        <w:pStyle w:val="NormalWeb"/>
        <w:jc w:val="both"/>
        <w:rPr>
          <w:rFonts w:ascii="Cambria" w:hAnsi="Cambria"/>
          <w:color w:val="auto"/>
          <w:sz w:val="18"/>
          <w:szCs w:val="18"/>
        </w:rPr>
      </w:pPr>
      <w:r>
        <w:rPr>
          <w:rFonts w:ascii="Cambria" w:hAnsi="Cambria"/>
        </w:rPr>
        <w:t xml:space="preserve">Le Conseil des ministres a ainsi autorisé la transmission aux fins d’examen par </w:t>
      </w:r>
      <w:r w:rsidRPr="007D75D5">
        <w:rPr>
          <w:rFonts w:ascii="Cambria" w:hAnsi="Cambria"/>
          <w:color w:val="auto"/>
        </w:rPr>
        <w:t>l’Assemblée de la Polynésie française d’un projet de délibération autorisant la prorogation de la convention entre la Polynésie française et l’IFREMER pour 5 années supplémentaires.</w:t>
      </w:r>
    </w:p>
    <w:p w14:paraId="5FBCCD17" w14:textId="6914CF62" w:rsidR="004A3526" w:rsidRPr="007D75D5" w:rsidRDefault="004A3526" w:rsidP="005D5D56">
      <w:pPr>
        <w:pStyle w:val="NormalWeb"/>
        <w:jc w:val="both"/>
        <w:rPr>
          <w:rFonts w:ascii="Cambria" w:hAnsi="Cambria"/>
          <w:color w:val="auto"/>
        </w:rPr>
      </w:pPr>
    </w:p>
    <w:p w14:paraId="5C6F8C43" w14:textId="77777777" w:rsidR="004A3526" w:rsidRDefault="004A3526" w:rsidP="004A3526">
      <w:pPr>
        <w:pStyle w:val="NormalWeb"/>
        <w:jc w:val="both"/>
        <w:rPr>
          <w:rFonts w:ascii="Cambria" w:hAnsi="Cambria"/>
          <w:b/>
          <w:bCs/>
        </w:rPr>
      </w:pPr>
      <w:r>
        <w:rPr>
          <w:rFonts w:ascii="Cambria" w:hAnsi="Cambria"/>
          <w:b/>
          <w:bCs/>
        </w:rPr>
        <w:t>Convention pluriannuelle avec l’ADEME</w:t>
      </w:r>
    </w:p>
    <w:p w14:paraId="3E64C127" w14:textId="77777777" w:rsidR="004A3526" w:rsidRDefault="004A3526" w:rsidP="004A3526">
      <w:pPr>
        <w:pStyle w:val="NormalWeb"/>
        <w:jc w:val="both"/>
        <w:rPr>
          <w:rFonts w:ascii="Cambria" w:hAnsi="Cambria"/>
          <w:b/>
          <w:bCs/>
        </w:rPr>
      </w:pPr>
    </w:p>
    <w:p w14:paraId="3A52D4B4" w14:textId="77777777" w:rsidR="004A3526" w:rsidRPr="003C4652" w:rsidRDefault="004A3526" w:rsidP="004A3526">
      <w:pPr>
        <w:pStyle w:val="NormalWeb"/>
        <w:jc w:val="both"/>
        <w:rPr>
          <w:rFonts w:ascii="Cambria" w:hAnsi="Cambria"/>
        </w:rPr>
      </w:pPr>
      <w:r w:rsidRPr="003C4652">
        <w:rPr>
          <w:rFonts w:ascii="Cambria" w:hAnsi="Cambria"/>
        </w:rPr>
        <w:lastRenderedPageBreak/>
        <w:t xml:space="preserve">Depuis 2002, la Polynésie française est accompagnée par l’ADEME (agence de la transition écologique) dans le cadre de ses politiques publiques en matière d’atténuation et d’adaptation au changement climatique. </w:t>
      </w:r>
      <w:r>
        <w:rPr>
          <w:rFonts w:ascii="Cambria" w:hAnsi="Cambria"/>
        </w:rPr>
        <w:t>L</w:t>
      </w:r>
      <w:r w:rsidRPr="003C4652">
        <w:rPr>
          <w:rFonts w:ascii="Cambria" w:hAnsi="Cambria"/>
        </w:rPr>
        <w:t xml:space="preserve">e nouveau projet de convention pluriannuelle ADEME – Polynésie française 2021-2023 n’est donc que la continuité d’un partenariat pertinent, performant et fonctionnel. </w:t>
      </w:r>
    </w:p>
    <w:p w14:paraId="16B6C793" w14:textId="77777777" w:rsidR="004A3526" w:rsidRPr="003C4652" w:rsidRDefault="004A3526" w:rsidP="004A3526">
      <w:pPr>
        <w:pStyle w:val="NormalWeb"/>
        <w:jc w:val="both"/>
        <w:rPr>
          <w:rFonts w:ascii="Cambria" w:hAnsi="Cambria"/>
        </w:rPr>
      </w:pPr>
      <w:r w:rsidRPr="003C4652">
        <w:rPr>
          <w:rFonts w:ascii="Cambria" w:hAnsi="Cambria"/>
        </w:rPr>
        <w:t xml:space="preserve">L’enveloppe financière de cette nouvelle convention est de 405 722 millions </w:t>
      </w:r>
      <w:proofErr w:type="spellStart"/>
      <w:r w:rsidRPr="003C4652">
        <w:rPr>
          <w:rFonts w:ascii="Cambria" w:hAnsi="Cambria"/>
        </w:rPr>
        <w:t>F</w:t>
      </w:r>
      <w:r>
        <w:rPr>
          <w:rFonts w:ascii="Cambria" w:hAnsi="Cambria"/>
        </w:rPr>
        <w:t>cfp</w:t>
      </w:r>
      <w:proofErr w:type="spellEnd"/>
      <w:r w:rsidRPr="003C4652">
        <w:rPr>
          <w:rFonts w:ascii="Cambria" w:hAnsi="Cambria"/>
        </w:rPr>
        <w:t xml:space="preserve"> sur 3 ans pour chacune des parties prenantes (ADEME et Polynésie française) sur les thématiques </w:t>
      </w:r>
      <w:proofErr w:type="gramStart"/>
      <w:r w:rsidRPr="003C4652">
        <w:rPr>
          <w:rFonts w:ascii="Cambria" w:hAnsi="Cambria"/>
        </w:rPr>
        <w:t>suivantes:</w:t>
      </w:r>
      <w:proofErr w:type="gramEnd"/>
      <w:r w:rsidRPr="003C4652">
        <w:rPr>
          <w:rFonts w:ascii="Cambria" w:hAnsi="Cambria"/>
        </w:rPr>
        <w:t xml:space="preserve"> transition énergétique, économie circulaire et prévention des déchets. </w:t>
      </w:r>
    </w:p>
    <w:p w14:paraId="5E64CF3F" w14:textId="5CD2A60C" w:rsidR="004A3526" w:rsidRDefault="004A3526" w:rsidP="005D5D56">
      <w:pPr>
        <w:pStyle w:val="NormalWeb"/>
        <w:jc w:val="both"/>
        <w:rPr>
          <w:rFonts w:ascii="Cambria" w:hAnsi="Cambria"/>
        </w:rPr>
      </w:pPr>
      <w:r w:rsidRPr="003C4652">
        <w:rPr>
          <w:rFonts w:ascii="Cambria" w:hAnsi="Cambria"/>
        </w:rPr>
        <w:t>Ainsi, tout type d’acteurs (communes, entreprises, associations, etc.) pourra bénéficier d’accompagnement technique et financier (subvention) dans le cadre des thématiques visées par la convention. </w:t>
      </w:r>
    </w:p>
    <w:p w14:paraId="45D950C0" w14:textId="70DF7600" w:rsidR="005D5D56" w:rsidRDefault="005D5D56" w:rsidP="005D5D56">
      <w:pPr>
        <w:pStyle w:val="NormalWeb"/>
        <w:jc w:val="both"/>
        <w:rPr>
          <w:rFonts w:ascii="Cambria" w:hAnsi="Cambria"/>
          <w:color w:val="auto"/>
          <w:lang w:eastAsia="es-ES"/>
        </w:rPr>
      </w:pPr>
    </w:p>
    <w:p w14:paraId="2F0D0D30" w14:textId="5B27B89D" w:rsidR="00DF3262" w:rsidRPr="00432D77" w:rsidRDefault="00DF3262" w:rsidP="00432D77">
      <w:pPr>
        <w:pStyle w:val="-LettreObjetGEDA"/>
        <w:tabs>
          <w:tab w:val="left" w:pos="709"/>
        </w:tabs>
        <w:ind w:left="0" w:firstLine="0"/>
        <w:rPr>
          <w:rFonts w:ascii="Cambria" w:hAnsi="Cambria"/>
          <w:b/>
          <w:szCs w:val="24"/>
        </w:rPr>
      </w:pPr>
      <w:bookmarkStart w:id="0" w:name="_Hlk82433403"/>
      <w:r w:rsidRPr="00432D77">
        <w:rPr>
          <w:rFonts w:ascii="Cambria" w:hAnsi="Cambria"/>
          <w:b/>
          <w:szCs w:val="24"/>
        </w:rPr>
        <w:t>Interdiction permanente de mettre sur le marché des produits de vapotage et de recharge de cigarettes électroniques contenant de l’acétate de vitamine E</w:t>
      </w:r>
      <w:bookmarkEnd w:id="0"/>
    </w:p>
    <w:p w14:paraId="22BFABED" w14:textId="77777777" w:rsidR="00DF3262" w:rsidRPr="00432D77" w:rsidRDefault="00DF3262" w:rsidP="00DF3262">
      <w:pPr>
        <w:overflowPunct w:val="0"/>
        <w:autoSpaceDE w:val="0"/>
        <w:autoSpaceDN w:val="0"/>
        <w:adjustRightInd w:val="0"/>
        <w:ind w:left="851"/>
        <w:jc w:val="both"/>
        <w:textAlignment w:val="baseline"/>
        <w:rPr>
          <w:rFonts w:ascii="Cambria" w:hAnsi="Cambria"/>
          <w:noProof/>
        </w:rPr>
      </w:pPr>
    </w:p>
    <w:p w14:paraId="2E33737F" w14:textId="77777777" w:rsidR="00DF3262" w:rsidRPr="00432D77" w:rsidRDefault="00DF3262" w:rsidP="00DF3262">
      <w:pPr>
        <w:pStyle w:val="Titre"/>
        <w:jc w:val="both"/>
        <w:rPr>
          <w:rFonts w:ascii="Cambria" w:eastAsia="Calibri" w:hAnsi="Cambria" w:cs="Times New Roman"/>
          <w:b w:val="0"/>
          <w:bCs w:val="0"/>
          <w:caps w:val="0"/>
          <w:spacing w:val="0"/>
          <w:kern w:val="0"/>
          <w:szCs w:val="24"/>
          <w:u w:val="none"/>
          <w:lang w:eastAsia="fr-FR"/>
        </w:rPr>
      </w:pPr>
    </w:p>
    <w:p w14:paraId="06E2A529" w14:textId="5398D20C" w:rsidR="00DF3262" w:rsidRPr="00432D77" w:rsidRDefault="00DF3262" w:rsidP="00DF3262">
      <w:pPr>
        <w:pStyle w:val="Titre"/>
        <w:jc w:val="both"/>
        <w:rPr>
          <w:rFonts w:ascii="Cambria" w:eastAsia="Calibri" w:hAnsi="Cambria" w:cs="Times New Roman"/>
          <w:b w:val="0"/>
          <w:bCs w:val="0"/>
          <w:caps w:val="0"/>
          <w:spacing w:val="0"/>
          <w:kern w:val="0"/>
          <w:szCs w:val="24"/>
          <w:u w:val="none"/>
          <w:lang w:eastAsia="fr-FR"/>
        </w:rPr>
      </w:pPr>
      <w:r w:rsidRPr="00432D77">
        <w:rPr>
          <w:rFonts w:ascii="Cambria" w:eastAsia="Calibri" w:hAnsi="Cambria" w:cs="Times New Roman"/>
          <w:b w:val="0"/>
          <w:bCs w:val="0"/>
          <w:caps w:val="0"/>
          <w:spacing w:val="0"/>
          <w:kern w:val="0"/>
          <w:szCs w:val="24"/>
          <w:u w:val="none"/>
          <w:lang w:eastAsia="fr-FR"/>
        </w:rPr>
        <w:t xml:space="preserve">Selon les rapports de la Food &amp; Drug Administration, l’acétate de vitamine E a causé plus de 2000 cas de pneumopathies liées à l'utilisation de ce produit dans les cigarettes électroniques ou de vapotage aux </w:t>
      </w:r>
      <w:r w:rsidR="00432D77">
        <w:rPr>
          <w:rFonts w:ascii="Cambria" w:eastAsia="Calibri" w:hAnsi="Cambria" w:cs="Times New Roman"/>
          <w:b w:val="0"/>
          <w:bCs w:val="0"/>
          <w:caps w:val="0"/>
          <w:spacing w:val="0"/>
          <w:kern w:val="0"/>
          <w:szCs w:val="24"/>
          <w:u w:val="none"/>
          <w:lang w:eastAsia="fr-FR"/>
        </w:rPr>
        <w:t>Etats-Unis</w:t>
      </w:r>
      <w:r w:rsidRPr="00432D77">
        <w:rPr>
          <w:rFonts w:ascii="Cambria" w:eastAsia="Calibri" w:hAnsi="Cambria" w:cs="Times New Roman"/>
          <w:b w:val="0"/>
          <w:bCs w:val="0"/>
          <w:caps w:val="0"/>
          <w:spacing w:val="0"/>
          <w:kern w:val="0"/>
          <w:szCs w:val="24"/>
          <w:u w:val="none"/>
          <w:lang w:eastAsia="fr-FR"/>
        </w:rPr>
        <w:t>. Ces pneumopathies, à l’origine d’une quarantaine de décès, incitent donc à retirer certains dispositifs du marché.</w:t>
      </w:r>
    </w:p>
    <w:p w14:paraId="5F0D368A" w14:textId="2ED078AF" w:rsidR="00432D77" w:rsidRPr="00432D77" w:rsidRDefault="00DF3262" w:rsidP="00DF3262">
      <w:pPr>
        <w:pStyle w:val="Titre"/>
        <w:jc w:val="both"/>
        <w:rPr>
          <w:rFonts w:ascii="Cambria" w:eastAsia="Calibri" w:hAnsi="Cambria" w:cs="Times New Roman"/>
          <w:b w:val="0"/>
          <w:bCs w:val="0"/>
          <w:caps w:val="0"/>
          <w:spacing w:val="0"/>
          <w:kern w:val="0"/>
          <w:szCs w:val="24"/>
          <w:u w:val="none"/>
          <w:lang w:eastAsia="fr-FR"/>
        </w:rPr>
      </w:pPr>
      <w:r w:rsidRPr="00432D77">
        <w:rPr>
          <w:rFonts w:ascii="Cambria" w:eastAsia="Calibri" w:hAnsi="Cambria" w:cs="Times New Roman"/>
          <w:b w:val="0"/>
          <w:bCs w:val="0"/>
          <w:caps w:val="0"/>
          <w:spacing w:val="0"/>
          <w:kern w:val="0"/>
          <w:szCs w:val="24"/>
          <w:u w:val="none"/>
          <w:lang w:eastAsia="fr-FR"/>
        </w:rPr>
        <w:t xml:space="preserve">En vertu du principe de précaution, l’arrêté </w:t>
      </w:r>
      <w:r w:rsidR="00432D77">
        <w:rPr>
          <w:rFonts w:ascii="Cambria" w:eastAsia="Calibri" w:hAnsi="Cambria" w:cs="Times New Roman"/>
          <w:b w:val="0"/>
          <w:bCs w:val="0"/>
          <w:caps w:val="0"/>
          <w:spacing w:val="0"/>
          <w:kern w:val="0"/>
          <w:szCs w:val="24"/>
          <w:u w:val="none"/>
          <w:lang w:eastAsia="fr-FR"/>
        </w:rPr>
        <w:t>du Conseil des ministres</w:t>
      </w:r>
      <w:r w:rsidRPr="00432D77">
        <w:rPr>
          <w:rFonts w:ascii="Cambria" w:eastAsia="Calibri" w:hAnsi="Cambria" w:cs="Times New Roman"/>
          <w:b w:val="0"/>
          <w:bCs w:val="0"/>
          <w:caps w:val="0"/>
          <w:spacing w:val="0"/>
          <w:kern w:val="0"/>
          <w:szCs w:val="24"/>
          <w:u w:val="none"/>
          <w:lang w:eastAsia="fr-FR"/>
        </w:rPr>
        <w:t xml:space="preserve"> du 13 février 2020 avait suspendu temporairement, pour un an, la vente de cigarettes électroniques contenant de l’acétate de vitamine E pour des raisons de santé et de sécurité évidentes au vu des problèmes constatés aux Etats-Unis.</w:t>
      </w:r>
    </w:p>
    <w:p w14:paraId="110AB2BE" w14:textId="1D04DFDF" w:rsidR="00DF3262" w:rsidRPr="00432D77" w:rsidRDefault="00DF3262" w:rsidP="00DF3262">
      <w:pPr>
        <w:pStyle w:val="Titre"/>
        <w:jc w:val="both"/>
        <w:rPr>
          <w:rFonts w:ascii="Cambria" w:eastAsia="Calibri" w:hAnsi="Cambria" w:cs="Times New Roman"/>
          <w:b w:val="0"/>
          <w:bCs w:val="0"/>
          <w:caps w:val="0"/>
          <w:spacing w:val="0"/>
          <w:kern w:val="0"/>
          <w:szCs w:val="24"/>
          <w:u w:val="none"/>
          <w:lang w:eastAsia="fr-FR"/>
        </w:rPr>
      </w:pPr>
      <w:r w:rsidRPr="00432D77">
        <w:rPr>
          <w:rFonts w:ascii="Cambria" w:eastAsia="Calibri" w:hAnsi="Cambria" w:cs="Times New Roman"/>
          <w:b w:val="0"/>
          <w:bCs w:val="0"/>
          <w:caps w:val="0"/>
          <w:spacing w:val="0"/>
          <w:kern w:val="0"/>
          <w:szCs w:val="24"/>
          <w:u w:val="none"/>
          <w:lang w:eastAsia="fr-FR"/>
        </w:rPr>
        <w:t>Afin de protéger les consommateurs de ce danger grave relatif à l’acétate de vitamine E, l’interdiction permanente de la mise sur le marché des produits de vapotage et de recharge de cigarettes électroniques contenant de l’acétate de vitamine E a donc été adoptée en Conseil des ministres.</w:t>
      </w:r>
    </w:p>
    <w:p w14:paraId="216A5C4C" w14:textId="7951326F" w:rsidR="00432D77" w:rsidRPr="00432D77" w:rsidRDefault="00432D77" w:rsidP="00432D77">
      <w:pPr>
        <w:pStyle w:val="-LettreTexteGEDA"/>
        <w:ind w:firstLine="0"/>
        <w:rPr>
          <w:rFonts w:ascii="Cambria" w:eastAsia="Calibri" w:hAnsi="Cambria"/>
          <w:szCs w:val="24"/>
        </w:rPr>
      </w:pPr>
    </w:p>
    <w:p w14:paraId="3B08C8EE" w14:textId="0EEA2154" w:rsidR="00432D77" w:rsidRPr="00432D77" w:rsidRDefault="00432D77" w:rsidP="00432D77">
      <w:pPr>
        <w:pStyle w:val="-LettreTexteGEDA"/>
        <w:ind w:firstLine="0"/>
        <w:rPr>
          <w:rFonts w:ascii="Cambria" w:eastAsia="Calibri" w:hAnsi="Cambria"/>
          <w:b/>
          <w:bCs/>
          <w:szCs w:val="24"/>
        </w:rPr>
      </w:pPr>
      <w:r w:rsidRPr="00432D77">
        <w:rPr>
          <w:rFonts w:ascii="Cambria" w:eastAsia="Calibri" w:hAnsi="Cambria"/>
          <w:b/>
          <w:bCs/>
          <w:szCs w:val="24"/>
        </w:rPr>
        <w:t>Ouverture de quotas spécifiques d’importation de fleurs coupées pour les fêtes de la Toussaint 2021 et de la Saint-Valentin 2022</w:t>
      </w:r>
    </w:p>
    <w:p w14:paraId="503CA186" w14:textId="410D6C31" w:rsidR="00432D77" w:rsidRPr="00432D77" w:rsidRDefault="00432D77" w:rsidP="00432D77">
      <w:pPr>
        <w:pStyle w:val="-LettreTexteGEDA"/>
        <w:ind w:firstLine="0"/>
        <w:rPr>
          <w:rFonts w:ascii="Cambria" w:eastAsia="Calibri" w:hAnsi="Cambria"/>
          <w:szCs w:val="24"/>
        </w:rPr>
      </w:pPr>
    </w:p>
    <w:p w14:paraId="3AFC7DD3" w14:textId="4EAD9750" w:rsidR="00432D77" w:rsidRPr="00432D77" w:rsidRDefault="00432D77" w:rsidP="00432D77">
      <w:pPr>
        <w:pStyle w:val="-LettreTexteGEDA"/>
        <w:ind w:firstLine="0"/>
        <w:rPr>
          <w:rFonts w:ascii="Cambria" w:eastAsia="Calibri" w:hAnsi="Cambria"/>
          <w:szCs w:val="24"/>
        </w:rPr>
      </w:pPr>
      <w:r w:rsidRPr="00432D77">
        <w:rPr>
          <w:rFonts w:ascii="Cambria" w:eastAsia="Calibri" w:hAnsi="Cambria"/>
          <w:szCs w:val="24"/>
        </w:rPr>
        <w:t>Les membres de la commission de fleurs coupées ont pris connaissance, le 26 août dernier, de la situation de la filière sur la base du rapport technique présenté par la Direction de l’agriculture.</w:t>
      </w:r>
    </w:p>
    <w:p w14:paraId="7492BA37" w14:textId="0D29172C" w:rsidR="00432D77" w:rsidRPr="00432D77" w:rsidRDefault="00432D77" w:rsidP="00432D77">
      <w:pPr>
        <w:pStyle w:val="-LettreTexteGEDA"/>
        <w:ind w:firstLine="0"/>
        <w:rPr>
          <w:rFonts w:ascii="Cambria" w:eastAsia="Calibri" w:hAnsi="Cambria"/>
          <w:szCs w:val="24"/>
        </w:rPr>
      </w:pPr>
      <w:r w:rsidRPr="00432D77">
        <w:rPr>
          <w:rFonts w:ascii="Cambria" w:eastAsia="Calibri" w:hAnsi="Cambria"/>
          <w:szCs w:val="24"/>
        </w:rPr>
        <w:t>Après analyse de l’état de la filière et des besoins exprimés par les fleuristes, le Conseil des ministres a procédé à l’ouverture de quotas spécifiques d’importation de fleurs coupées pour les fêtes de la Toussaint 2021 et de la Saint-Valentin 2022.</w:t>
      </w:r>
    </w:p>
    <w:p w14:paraId="7C6ABD63" w14:textId="13D89739" w:rsidR="00432D77" w:rsidRPr="00432D77" w:rsidRDefault="00432D77" w:rsidP="00432D77">
      <w:pPr>
        <w:pStyle w:val="-LettreTexteGEDA"/>
        <w:ind w:firstLine="0"/>
        <w:rPr>
          <w:rFonts w:ascii="Cambria" w:eastAsia="Calibri" w:hAnsi="Cambria"/>
          <w:szCs w:val="24"/>
        </w:rPr>
      </w:pPr>
      <w:r w:rsidRPr="00432D77">
        <w:rPr>
          <w:rFonts w:ascii="Cambria" w:eastAsia="Calibri" w:hAnsi="Cambria"/>
          <w:szCs w:val="24"/>
        </w:rPr>
        <w:t>Ces quotas destinés exclusivement aux fleuristes patentés exploitant un magasin régulièrement approvisionné sont ouverts à hauteur de 15 410 tiges pour la Toussaint 2021 et de 20 200 tiges pour la Saint-Valentin 2022.</w:t>
      </w:r>
    </w:p>
    <w:p w14:paraId="6A3ACB66" w14:textId="6C9A0376" w:rsidR="00DF3262" w:rsidRPr="00432D77" w:rsidRDefault="00DF3262" w:rsidP="00DF3262">
      <w:pPr>
        <w:pStyle w:val="-LettreTexteGEDA"/>
        <w:ind w:firstLine="0"/>
        <w:rPr>
          <w:rFonts w:ascii="Cambria" w:eastAsia="Calibri" w:hAnsi="Cambria"/>
          <w:szCs w:val="24"/>
        </w:rPr>
      </w:pPr>
    </w:p>
    <w:p w14:paraId="6B83A5EC" w14:textId="0EB28CB2" w:rsidR="00DF3262" w:rsidRPr="00432D77" w:rsidRDefault="00DF3262" w:rsidP="00DF3262">
      <w:pPr>
        <w:pStyle w:val="-LettreTexteGEDA"/>
        <w:ind w:firstLine="0"/>
        <w:rPr>
          <w:rFonts w:ascii="Cambria" w:eastAsia="Calibri" w:hAnsi="Cambria"/>
          <w:b/>
          <w:bCs/>
          <w:szCs w:val="24"/>
        </w:rPr>
      </w:pPr>
      <w:r w:rsidRPr="00432D77">
        <w:rPr>
          <w:rFonts w:ascii="Cambria" w:eastAsia="Calibri" w:hAnsi="Cambria"/>
          <w:b/>
          <w:bCs/>
          <w:szCs w:val="24"/>
        </w:rPr>
        <w:t>Indice des prix: baisse de 0,2% au mois d’août</w:t>
      </w:r>
    </w:p>
    <w:p w14:paraId="0CD93E44" w14:textId="46D965C2" w:rsidR="00DF3262" w:rsidRPr="00432D77" w:rsidRDefault="00DF3262" w:rsidP="005D5D56">
      <w:pPr>
        <w:pStyle w:val="NormalWeb"/>
        <w:jc w:val="both"/>
        <w:rPr>
          <w:rFonts w:ascii="Cambria" w:hAnsi="Cambria"/>
        </w:rPr>
      </w:pPr>
    </w:p>
    <w:p w14:paraId="301281C7" w14:textId="77777777" w:rsidR="00DF3262" w:rsidRPr="00432D77" w:rsidRDefault="00DF3262" w:rsidP="00432D77">
      <w:pPr>
        <w:pStyle w:val="-LettreTexteGEDA"/>
        <w:spacing w:after="120"/>
        <w:ind w:firstLine="0"/>
        <w:rPr>
          <w:rFonts w:ascii="Cambria" w:hAnsi="Cambria"/>
          <w:szCs w:val="24"/>
        </w:rPr>
      </w:pPr>
      <w:r w:rsidRPr="00432D77">
        <w:rPr>
          <w:rFonts w:ascii="Cambria" w:hAnsi="Cambria"/>
          <w:szCs w:val="24"/>
        </w:rPr>
        <w:t xml:space="preserve">En août 2021, l'indice des prix à la consommation diminue de 0,2 % et s'établit à 99,96, essentiellement en raison de la baisse des prix de 1,5 % dans la division Transports. La tendance de hausse des prix se poursuit avec une augmentation de 1,1 % sur douze mois de l'indice général des prix à la consommation. Hors Transport aérien international, l’indice général est stable en août 2021 et augmente de 1,0 % sur douze mois. </w:t>
      </w:r>
    </w:p>
    <w:p w14:paraId="51097487" w14:textId="77777777" w:rsidR="00DF3262" w:rsidRPr="00432D77" w:rsidRDefault="00DF3262" w:rsidP="00432D77">
      <w:pPr>
        <w:pStyle w:val="-LettreTexteGEDA"/>
        <w:spacing w:after="120"/>
        <w:ind w:firstLine="0"/>
        <w:rPr>
          <w:rFonts w:ascii="Cambria" w:hAnsi="Cambria"/>
          <w:bCs/>
          <w:szCs w:val="24"/>
        </w:rPr>
      </w:pPr>
      <w:bookmarkStart w:id="1" w:name="_Hlk78376167"/>
      <w:r w:rsidRPr="00432D77">
        <w:rPr>
          <w:rFonts w:ascii="Cambria" w:hAnsi="Cambria"/>
          <w:bCs/>
          <w:szCs w:val="24"/>
        </w:rPr>
        <w:t>En rythme annuel, la hausse des prix s’inscrit dans la tendance mondiale, avec un léger effet retard en Polynésie. Par ailleurs, l’augmentation de l’indice polynésien s’accélère mais reste plus modérée que celle de France métropolitaine :</w:t>
      </w:r>
    </w:p>
    <w:tbl>
      <w:tblPr>
        <w:tblW w:w="9225" w:type="dxa"/>
        <w:tblInd w:w="75" w:type="dxa"/>
        <w:tblCellMar>
          <w:left w:w="70" w:type="dxa"/>
          <w:right w:w="70" w:type="dxa"/>
        </w:tblCellMar>
        <w:tblLook w:val="04A0" w:firstRow="1" w:lastRow="0" w:firstColumn="1" w:lastColumn="0" w:noHBand="0" w:noVBand="1"/>
      </w:tblPr>
      <w:tblGrid>
        <w:gridCol w:w="4420"/>
        <w:gridCol w:w="1200"/>
        <w:gridCol w:w="1200"/>
        <w:gridCol w:w="1081"/>
        <w:gridCol w:w="1324"/>
      </w:tblGrid>
      <w:tr w:rsidR="00DF3262" w:rsidRPr="00432D77" w14:paraId="65C856B9" w14:textId="77777777" w:rsidTr="008F3993">
        <w:trPr>
          <w:trHeight w:val="315"/>
        </w:trPr>
        <w:tc>
          <w:tcPr>
            <w:tcW w:w="44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C83296" w14:textId="77777777" w:rsidR="00DF3262" w:rsidRPr="00432D77" w:rsidRDefault="00DF3262" w:rsidP="008F3993">
            <w:pPr>
              <w:jc w:val="center"/>
              <w:rPr>
                <w:rFonts w:ascii="Cambria" w:hAnsi="Cambria"/>
                <w:color w:val="000000"/>
              </w:rPr>
            </w:pPr>
            <w:r w:rsidRPr="00432D77">
              <w:rPr>
                <w:rFonts w:ascii="Cambria" w:hAnsi="Cambria"/>
                <w:color w:val="000000"/>
              </w:rPr>
              <w:t>Variation de l’indice des prix à la consommation</w:t>
            </w:r>
          </w:p>
        </w:tc>
        <w:tc>
          <w:tcPr>
            <w:tcW w:w="2400" w:type="dxa"/>
            <w:gridSpan w:val="2"/>
            <w:tcBorders>
              <w:top w:val="single" w:sz="8" w:space="0" w:color="auto"/>
              <w:left w:val="nil"/>
              <w:bottom w:val="single" w:sz="8" w:space="0" w:color="auto"/>
              <w:right w:val="single" w:sz="8" w:space="0" w:color="000000"/>
            </w:tcBorders>
            <w:shd w:val="clear" w:color="000000" w:fill="FFFFFF"/>
            <w:noWrap/>
            <w:vAlign w:val="bottom"/>
            <w:hideMark/>
          </w:tcPr>
          <w:p w14:paraId="054992A4" w14:textId="77777777" w:rsidR="00DF3262" w:rsidRPr="00432D77" w:rsidRDefault="00DF3262" w:rsidP="008F3993">
            <w:pPr>
              <w:jc w:val="center"/>
              <w:rPr>
                <w:rFonts w:ascii="Cambria" w:hAnsi="Cambria"/>
                <w:color w:val="000000"/>
              </w:rPr>
            </w:pPr>
            <w:proofErr w:type="gramStart"/>
            <w:r w:rsidRPr="00432D77">
              <w:rPr>
                <w:rFonts w:ascii="Cambria" w:hAnsi="Cambria"/>
                <w:color w:val="000000"/>
              </w:rPr>
              <w:t>juil</w:t>
            </w:r>
            <w:proofErr w:type="gramEnd"/>
            <w:r w:rsidRPr="00432D77">
              <w:rPr>
                <w:rFonts w:ascii="Cambria" w:hAnsi="Cambria"/>
                <w:color w:val="000000"/>
              </w:rPr>
              <w:t>-21</w:t>
            </w:r>
          </w:p>
        </w:tc>
        <w:tc>
          <w:tcPr>
            <w:tcW w:w="2405" w:type="dxa"/>
            <w:gridSpan w:val="2"/>
            <w:tcBorders>
              <w:top w:val="single" w:sz="8" w:space="0" w:color="auto"/>
              <w:left w:val="nil"/>
              <w:bottom w:val="single" w:sz="8" w:space="0" w:color="auto"/>
              <w:right w:val="single" w:sz="8" w:space="0" w:color="000000"/>
            </w:tcBorders>
            <w:shd w:val="clear" w:color="000000" w:fill="FFFFFF"/>
            <w:noWrap/>
            <w:vAlign w:val="bottom"/>
            <w:hideMark/>
          </w:tcPr>
          <w:p w14:paraId="728B51A7" w14:textId="77777777" w:rsidR="00DF3262" w:rsidRPr="00432D77" w:rsidRDefault="00DF3262" w:rsidP="008F3993">
            <w:pPr>
              <w:jc w:val="center"/>
              <w:rPr>
                <w:rFonts w:ascii="Cambria" w:hAnsi="Cambria"/>
                <w:color w:val="000000"/>
              </w:rPr>
            </w:pPr>
            <w:proofErr w:type="gramStart"/>
            <w:r w:rsidRPr="00432D77">
              <w:rPr>
                <w:rFonts w:ascii="Cambria" w:hAnsi="Cambria"/>
                <w:color w:val="000000"/>
              </w:rPr>
              <w:t>août</w:t>
            </w:r>
            <w:proofErr w:type="gramEnd"/>
            <w:r w:rsidRPr="00432D77">
              <w:rPr>
                <w:rFonts w:ascii="Cambria" w:hAnsi="Cambria"/>
                <w:color w:val="000000"/>
              </w:rPr>
              <w:t>-21</w:t>
            </w:r>
          </w:p>
        </w:tc>
      </w:tr>
      <w:tr w:rsidR="00DF3262" w:rsidRPr="00432D77" w14:paraId="59F17CA4" w14:textId="77777777" w:rsidTr="008F3993">
        <w:trPr>
          <w:trHeight w:val="315"/>
        </w:trPr>
        <w:tc>
          <w:tcPr>
            <w:tcW w:w="4420" w:type="dxa"/>
            <w:vMerge/>
            <w:tcBorders>
              <w:top w:val="single" w:sz="8" w:space="0" w:color="auto"/>
              <w:left w:val="single" w:sz="8" w:space="0" w:color="auto"/>
              <w:bottom w:val="single" w:sz="8" w:space="0" w:color="000000"/>
              <w:right w:val="single" w:sz="8" w:space="0" w:color="auto"/>
            </w:tcBorders>
            <w:vAlign w:val="center"/>
            <w:hideMark/>
          </w:tcPr>
          <w:p w14:paraId="51B3D624" w14:textId="77777777" w:rsidR="00DF3262" w:rsidRPr="00432D77" w:rsidRDefault="00DF3262" w:rsidP="008F3993">
            <w:pPr>
              <w:rPr>
                <w:rFonts w:ascii="Cambria" w:hAnsi="Cambria"/>
                <w:color w:val="000000"/>
              </w:rPr>
            </w:pPr>
          </w:p>
        </w:tc>
        <w:tc>
          <w:tcPr>
            <w:tcW w:w="1200" w:type="dxa"/>
            <w:tcBorders>
              <w:top w:val="nil"/>
              <w:left w:val="nil"/>
              <w:bottom w:val="single" w:sz="4" w:space="0" w:color="auto"/>
              <w:right w:val="single" w:sz="4" w:space="0" w:color="auto"/>
            </w:tcBorders>
            <w:shd w:val="clear" w:color="000000" w:fill="FFFFFF"/>
            <w:noWrap/>
            <w:vAlign w:val="center"/>
            <w:hideMark/>
          </w:tcPr>
          <w:p w14:paraId="7B2B023C" w14:textId="77777777" w:rsidR="00DF3262" w:rsidRPr="00432D77" w:rsidRDefault="00DF3262" w:rsidP="008F3993">
            <w:pPr>
              <w:jc w:val="center"/>
              <w:rPr>
                <w:rFonts w:ascii="Cambria" w:hAnsi="Cambria"/>
                <w:color w:val="000000"/>
              </w:rPr>
            </w:pPr>
            <w:r w:rsidRPr="00432D77">
              <w:rPr>
                <w:rFonts w:ascii="Cambria" w:hAnsi="Cambria"/>
                <w:color w:val="000000"/>
              </w:rPr>
              <w:t>FR</w:t>
            </w:r>
          </w:p>
        </w:tc>
        <w:tc>
          <w:tcPr>
            <w:tcW w:w="1200" w:type="dxa"/>
            <w:tcBorders>
              <w:top w:val="nil"/>
              <w:left w:val="nil"/>
              <w:bottom w:val="single" w:sz="4" w:space="0" w:color="auto"/>
              <w:right w:val="single" w:sz="8" w:space="0" w:color="auto"/>
            </w:tcBorders>
            <w:shd w:val="clear" w:color="000000" w:fill="FFFFFF"/>
            <w:noWrap/>
            <w:vAlign w:val="center"/>
            <w:hideMark/>
          </w:tcPr>
          <w:p w14:paraId="3C01ABDD" w14:textId="77777777" w:rsidR="00DF3262" w:rsidRPr="00432D77" w:rsidRDefault="00DF3262" w:rsidP="008F3993">
            <w:pPr>
              <w:jc w:val="center"/>
              <w:rPr>
                <w:rFonts w:ascii="Cambria" w:hAnsi="Cambria"/>
                <w:color w:val="000000"/>
              </w:rPr>
            </w:pPr>
            <w:r w:rsidRPr="00432D77">
              <w:rPr>
                <w:rFonts w:ascii="Cambria" w:hAnsi="Cambria"/>
                <w:color w:val="000000"/>
              </w:rPr>
              <w:t>PF</w:t>
            </w:r>
          </w:p>
        </w:tc>
        <w:tc>
          <w:tcPr>
            <w:tcW w:w="1081" w:type="dxa"/>
            <w:tcBorders>
              <w:top w:val="nil"/>
              <w:left w:val="nil"/>
              <w:bottom w:val="single" w:sz="4" w:space="0" w:color="auto"/>
              <w:right w:val="single" w:sz="4" w:space="0" w:color="auto"/>
            </w:tcBorders>
            <w:shd w:val="clear" w:color="000000" w:fill="FFFFFF"/>
            <w:noWrap/>
            <w:vAlign w:val="center"/>
            <w:hideMark/>
          </w:tcPr>
          <w:p w14:paraId="272AFEB3" w14:textId="77777777" w:rsidR="00DF3262" w:rsidRPr="00432D77" w:rsidRDefault="00DF3262" w:rsidP="008F3993">
            <w:pPr>
              <w:jc w:val="center"/>
              <w:rPr>
                <w:rFonts w:ascii="Cambria" w:hAnsi="Cambria"/>
                <w:color w:val="000000"/>
              </w:rPr>
            </w:pPr>
            <w:r w:rsidRPr="00432D77">
              <w:rPr>
                <w:rFonts w:ascii="Cambria" w:hAnsi="Cambria"/>
                <w:color w:val="000000"/>
              </w:rPr>
              <w:t>FR</w:t>
            </w:r>
          </w:p>
        </w:tc>
        <w:tc>
          <w:tcPr>
            <w:tcW w:w="1324" w:type="dxa"/>
            <w:tcBorders>
              <w:top w:val="nil"/>
              <w:left w:val="nil"/>
              <w:bottom w:val="single" w:sz="4" w:space="0" w:color="auto"/>
              <w:right w:val="single" w:sz="8" w:space="0" w:color="auto"/>
            </w:tcBorders>
            <w:shd w:val="clear" w:color="000000" w:fill="FFFFFF"/>
            <w:noWrap/>
            <w:vAlign w:val="center"/>
            <w:hideMark/>
          </w:tcPr>
          <w:p w14:paraId="3779E275" w14:textId="77777777" w:rsidR="00DF3262" w:rsidRPr="00432D77" w:rsidRDefault="00DF3262" w:rsidP="008F3993">
            <w:pPr>
              <w:jc w:val="center"/>
              <w:rPr>
                <w:rFonts w:ascii="Cambria" w:hAnsi="Cambria"/>
                <w:color w:val="000000"/>
              </w:rPr>
            </w:pPr>
            <w:r w:rsidRPr="00432D77">
              <w:rPr>
                <w:rFonts w:ascii="Cambria" w:hAnsi="Cambria"/>
                <w:color w:val="000000"/>
              </w:rPr>
              <w:t>PF</w:t>
            </w:r>
          </w:p>
        </w:tc>
      </w:tr>
      <w:tr w:rsidR="00DF3262" w:rsidRPr="00432D77" w14:paraId="4F7AAD75" w14:textId="77777777" w:rsidTr="008F3993">
        <w:trPr>
          <w:trHeight w:val="315"/>
        </w:trPr>
        <w:tc>
          <w:tcPr>
            <w:tcW w:w="4420" w:type="dxa"/>
            <w:tcBorders>
              <w:top w:val="nil"/>
              <w:left w:val="single" w:sz="8" w:space="0" w:color="auto"/>
              <w:bottom w:val="single" w:sz="8" w:space="0" w:color="auto"/>
              <w:right w:val="single" w:sz="8" w:space="0" w:color="auto"/>
            </w:tcBorders>
            <w:shd w:val="clear" w:color="auto" w:fill="auto"/>
            <w:noWrap/>
            <w:vAlign w:val="center"/>
            <w:hideMark/>
          </w:tcPr>
          <w:p w14:paraId="20478D20" w14:textId="77777777" w:rsidR="00DF3262" w:rsidRPr="00432D77" w:rsidRDefault="00DF3262" w:rsidP="008F3993">
            <w:pPr>
              <w:rPr>
                <w:rFonts w:ascii="Cambria" w:hAnsi="Cambria"/>
                <w:color w:val="000000"/>
              </w:rPr>
            </w:pPr>
            <w:r w:rsidRPr="00432D77">
              <w:rPr>
                <w:rFonts w:ascii="Cambria" w:hAnsi="Cambria"/>
                <w:color w:val="000000"/>
              </w:rPr>
              <w:t>Variation annuelle - Sur 12 mois</w:t>
            </w:r>
          </w:p>
        </w:tc>
        <w:tc>
          <w:tcPr>
            <w:tcW w:w="1200" w:type="dxa"/>
            <w:tcBorders>
              <w:top w:val="nil"/>
              <w:left w:val="nil"/>
              <w:bottom w:val="single" w:sz="4" w:space="0" w:color="auto"/>
              <w:right w:val="single" w:sz="4" w:space="0" w:color="auto"/>
            </w:tcBorders>
            <w:shd w:val="clear" w:color="000000" w:fill="FFFFFF"/>
            <w:noWrap/>
            <w:vAlign w:val="bottom"/>
            <w:hideMark/>
          </w:tcPr>
          <w:p w14:paraId="73FDCD87"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1,2</w:t>
            </w:r>
          </w:p>
        </w:tc>
        <w:tc>
          <w:tcPr>
            <w:tcW w:w="1200" w:type="dxa"/>
            <w:tcBorders>
              <w:top w:val="nil"/>
              <w:left w:val="nil"/>
              <w:bottom w:val="single" w:sz="4" w:space="0" w:color="auto"/>
              <w:right w:val="single" w:sz="8" w:space="0" w:color="auto"/>
            </w:tcBorders>
            <w:shd w:val="clear" w:color="000000" w:fill="FFFFFF"/>
            <w:noWrap/>
            <w:vAlign w:val="bottom"/>
            <w:hideMark/>
          </w:tcPr>
          <w:p w14:paraId="6AC2AA21"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0,8</w:t>
            </w:r>
          </w:p>
        </w:tc>
        <w:tc>
          <w:tcPr>
            <w:tcW w:w="1081" w:type="dxa"/>
            <w:tcBorders>
              <w:top w:val="nil"/>
              <w:left w:val="nil"/>
              <w:bottom w:val="single" w:sz="4" w:space="0" w:color="auto"/>
              <w:right w:val="single" w:sz="4" w:space="0" w:color="auto"/>
            </w:tcBorders>
            <w:shd w:val="clear" w:color="000000" w:fill="FFFFFF"/>
            <w:noWrap/>
            <w:vAlign w:val="bottom"/>
            <w:hideMark/>
          </w:tcPr>
          <w:p w14:paraId="49059804"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1,9</w:t>
            </w:r>
          </w:p>
        </w:tc>
        <w:tc>
          <w:tcPr>
            <w:tcW w:w="1324" w:type="dxa"/>
            <w:tcBorders>
              <w:top w:val="nil"/>
              <w:left w:val="nil"/>
              <w:bottom w:val="single" w:sz="4" w:space="0" w:color="auto"/>
              <w:right w:val="single" w:sz="8" w:space="0" w:color="auto"/>
            </w:tcBorders>
            <w:shd w:val="clear" w:color="000000" w:fill="FFFFFF"/>
            <w:noWrap/>
            <w:vAlign w:val="bottom"/>
            <w:hideMark/>
          </w:tcPr>
          <w:p w14:paraId="76A5BE19"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1,2</w:t>
            </w:r>
          </w:p>
        </w:tc>
      </w:tr>
      <w:tr w:rsidR="00DF3262" w:rsidRPr="00432D77" w14:paraId="3EA82E2A" w14:textId="77777777" w:rsidTr="008F3993">
        <w:trPr>
          <w:trHeight w:val="315"/>
        </w:trPr>
        <w:tc>
          <w:tcPr>
            <w:tcW w:w="4420" w:type="dxa"/>
            <w:tcBorders>
              <w:top w:val="nil"/>
              <w:left w:val="single" w:sz="8" w:space="0" w:color="auto"/>
              <w:bottom w:val="single" w:sz="8" w:space="0" w:color="auto"/>
              <w:right w:val="single" w:sz="8" w:space="0" w:color="auto"/>
            </w:tcBorders>
            <w:shd w:val="clear" w:color="000000" w:fill="FFFFFF"/>
            <w:noWrap/>
            <w:vAlign w:val="center"/>
            <w:hideMark/>
          </w:tcPr>
          <w:p w14:paraId="305D3C65" w14:textId="77777777" w:rsidR="00DF3262" w:rsidRPr="00432D77" w:rsidRDefault="00DF3262" w:rsidP="008F3993">
            <w:pPr>
              <w:rPr>
                <w:rFonts w:ascii="Cambria" w:hAnsi="Cambria"/>
                <w:color w:val="000000"/>
              </w:rPr>
            </w:pPr>
            <w:r w:rsidRPr="00432D77">
              <w:rPr>
                <w:rFonts w:ascii="Cambria" w:hAnsi="Cambria"/>
                <w:color w:val="000000"/>
              </w:rPr>
              <w:t>Variation mensuelle - versus M-1</w:t>
            </w:r>
          </w:p>
        </w:tc>
        <w:tc>
          <w:tcPr>
            <w:tcW w:w="1200" w:type="dxa"/>
            <w:tcBorders>
              <w:top w:val="nil"/>
              <w:left w:val="nil"/>
              <w:bottom w:val="single" w:sz="8" w:space="0" w:color="auto"/>
              <w:right w:val="single" w:sz="4" w:space="0" w:color="auto"/>
            </w:tcBorders>
            <w:shd w:val="clear" w:color="000000" w:fill="FFFFFF"/>
            <w:noWrap/>
            <w:vAlign w:val="bottom"/>
            <w:hideMark/>
          </w:tcPr>
          <w:p w14:paraId="03E2AED6"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0,1</w:t>
            </w:r>
          </w:p>
        </w:tc>
        <w:tc>
          <w:tcPr>
            <w:tcW w:w="1200" w:type="dxa"/>
            <w:tcBorders>
              <w:top w:val="nil"/>
              <w:left w:val="nil"/>
              <w:bottom w:val="single" w:sz="8" w:space="0" w:color="auto"/>
              <w:right w:val="single" w:sz="8" w:space="0" w:color="auto"/>
            </w:tcBorders>
            <w:shd w:val="clear" w:color="000000" w:fill="FFFFFF"/>
            <w:noWrap/>
            <w:vAlign w:val="bottom"/>
            <w:hideMark/>
          </w:tcPr>
          <w:p w14:paraId="2A59E770"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0,6</w:t>
            </w:r>
          </w:p>
        </w:tc>
        <w:tc>
          <w:tcPr>
            <w:tcW w:w="1081" w:type="dxa"/>
            <w:tcBorders>
              <w:top w:val="nil"/>
              <w:left w:val="nil"/>
              <w:bottom w:val="single" w:sz="8" w:space="0" w:color="auto"/>
              <w:right w:val="single" w:sz="4" w:space="0" w:color="auto"/>
            </w:tcBorders>
            <w:shd w:val="clear" w:color="000000" w:fill="FFFFFF"/>
            <w:noWrap/>
            <w:vAlign w:val="bottom"/>
            <w:hideMark/>
          </w:tcPr>
          <w:p w14:paraId="56108728"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0,2</w:t>
            </w:r>
          </w:p>
        </w:tc>
        <w:tc>
          <w:tcPr>
            <w:tcW w:w="1324" w:type="dxa"/>
            <w:tcBorders>
              <w:top w:val="nil"/>
              <w:left w:val="nil"/>
              <w:bottom w:val="single" w:sz="8" w:space="0" w:color="auto"/>
              <w:right w:val="single" w:sz="8" w:space="0" w:color="auto"/>
            </w:tcBorders>
            <w:shd w:val="clear" w:color="000000" w:fill="FFFFFF"/>
            <w:noWrap/>
            <w:vAlign w:val="bottom"/>
            <w:hideMark/>
          </w:tcPr>
          <w:p w14:paraId="531DF0B5" w14:textId="77777777" w:rsidR="00DF3262" w:rsidRPr="00432D77" w:rsidRDefault="00DF3262" w:rsidP="008F3993">
            <w:pPr>
              <w:jc w:val="center"/>
              <w:rPr>
                <w:rFonts w:ascii="Cambria" w:hAnsi="Cambria" w:cs="Calibri"/>
                <w:color w:val="000000"/>
              </w:rPr>
            </w:pPr>
            <w:r w:rsidRPr="00432D77">
              <w:rPr>
                <w:rFonts w:ascii="Cambria" w:hAnsi="Cambria" w:cs="Calibri"/>
                <w:color w:val="000000"/>
              </w:rPr>
              <w:t>-0,2</w:t>
            </w:r>
          </w:p>
        </w:tc>
      </w:tr>
    </w:tbl>
    <w:p w14:paraId="54FFD600" w14:textId="77777777" w:rsidR="00DF3262" w:rsidRPr="00432D77" w:rsidRDefault="00DF3262" w:rsidP="00DF3262">
      <w:pPr>
        <w:pStyle w:val="-LettreTexteGEDA"/>
        <w:rPr>
          <w:rFonts w:ascii="Cambria" w:hAnsi="Cambria"/>
          <w:bCs/>
          <w:szCs w:val="24"/>
        </w:rPr>
      </w:pPr>
    </w:p>
    <w:p w14:paraId="75C1A88C" w14:textId="77777777" w:rsidR="00DF3262" w:rsidRPr="00432D77" w:rsidRDefault="00DF3262" w:rsidP="00D21531">
      <w:pPr>
        <w:pStyle w:val="-LettreTexteGEDA"/>
        <w:spacing w:after="240"/>
        <w:ind w:firstLine="0"/>
        <w:rPr>
          <w:rFonts w:ascii="Cambria" w:hAnsi="Cambria"/>
          <w:bCs/>
          <w:szCs w:val="24"/>
        </w:rPr>
      </w:pPr>
      <w:r w:rsidRPr="00432D77">
        <w:rPr>
          <w:rFonts w:ascii="Cambria" w:hAnsi="Cambria"/>
          <w:bCs/>
          <w:szCs w:val="24"/>
        </w:rPr>
        <w:t xml:space="preserve">La diminution de l'indice des prix à la consommation au cours du dernier mois est principalement expliquée par celle des prix du transport aérien de voyageurs (- 11,5 %). D'autres produits et services voient leurs prix diminuer avec un moindre impact sur l'indice tels que les boissons alcoolisées (- 1,3 %), les autres articles et équipement de loisirs, jardin et animaux d'agréement (- 0,5 %), et les articles chaussants (- 3,1 %). </w:t>
      </w:r>
    </w:p>
    <w:p w14:paraId="43ADBD60" w14:textId="3006B7DF" w:rsidR="00DF3262" w:rsidRPr="00432D77" w:rsidRDefault="00DF3262" w:rsidP="00D21531">
      <w:pPr>
        <w:pStyle w:val="-LettreTexteGEDA"/>
        <w:spacing w:after="240"/>
        <w:ind w:firstLine="0"/>
        <w:rPr>
          <w:rFonts w:ascii="Cambria" w:hAnsi="Cambria"/>
          <w:bCs/>
          <w:szCs w:val="24"/>
        </w:rPr>
      </w:pPr>
      <w:r w:rsidRPr="00432D77">
        <w:rPr>
          <w:rFonts w:ascii="Cambria" w:hAnsi="Cambria"/>
          <w:bCs/>
          <w:szCs w:val="24"/>
        </w:rPr>
        <w:t>Contrairement à la tendance générale, certains prix augmentent notamment les loyers (+ 0,1 %), les consommations dans les restaurants, snacks, roulottes, cafés et établissement similaires (+ 0,4 %), les produits de la mer (+ 3,9 %) et les soins personnels (+ 0,5 %).</w:t>
      </w:r>
      <w:r w:rsidR="00D21531">
        <w:rPr>
          <w:rFonts w:ascii="Cambria" w:hAnsi="Cambria"/>
          <w:bCs/>
          <w:szCs w:val="24"/>
        </w:rPr>
        <w:t xml:space="preserve"> </w:t>
      </w:r>
      <w:r w:rsidRPr="00432D77">
        <w:rPr>
          <w:rFonts w:ascii="Cambria" w:hAnsi="Cambria"/>
          <w:bCs/>
          <w:szCs w:val="24"/>
        </w:rPr>
        <w:t>Le confinement en Polynésie française commencé le 23 août n’a pas impacté la collecte de l’indice des prix à la consommation qui s’est terminée le 20 août.</w:t>
      </w:r>
    </w:p>
    <w:p w14:paraId="24D2DA29" w14:textId="1281D9FB" w:rsidR="00432D77" w:rsidRPr="00D21531" w:rsidRDefault="00D21531" w:rsidP="00D21531">
      <w:pPr>
        <w:pStyle w:val="-LettreTexteGEDA"/>
        <w:spacing w:before="240"/>
        <w:ind w:firstLine="0"/>
        <w:rPr>
          <w:rFonts w:ascii="Cambria" w:hAnsi="Cambria"/>
          <w:szCs w:val="24"/>
        </w:rPr>
      </w:pPr>
      <w:r>
        <w:rPr>
          <w:rFonts w:ascii="Cambria" w:hAnsi="Cambria"/>
          <w:szCs w:val="24"/>
        </w:rPr>
        <w:t>Au mois d’</w:t>
      </w:r>
      <w:r w:rsidR="00432D77" w:rsidRPr="00432D77">
        <w:rPr>
          <w:rFonts w:ascii="Cambria" w:hAnsi="Cambria"/>
          <w:szCs w:val="24"/>
        </w:rPr>
        <w:t xml:space="preserve">août </w:t>
      </w:r>
      <w:r>
        <w:rPr>
          <w:rFonts w:ascii="Cambria" w:hAnsi="Cambria"/>
          <w:szCs w:val="24"/>
        </w:rPr>
        <w:t>également</w:t>
      </w:r>
      <w:r w:rsidR="00432D77" w:rsidRPr="00432D77">
        <w:rPr>
          <w:rFonts w:ascii="Cambria" w:hAnsi="Cambria"/>
          <w:szCs w:val="24"/>
        </w:rPr>
        <w:t>, l'index du Bâtiment et des Travaux Publics (BTP) augmente de 0,4 % et s'établit à 113,93. Cette évolution est liée à la hausse des prix des matériaux de construction (+1,2%), qu'ils soient minéraux (+ 2,8 %), métalliques (+ 2,4 %), électriques (+ 0,6 %), chimiques (+ 0,2 %) ou végétaux (+ 0,6 %). Sur douze mois, l'index général du Bâtiment et Travaux publics augmente de 4,6 %.</w:t>
      </w:r>
      <w:r>
        <w:rPr>
          <w:rFonts w:ascii="Cambria" w:hAnsi="Cambria"/>
          <w:szCs w:val="24"/>
        </w:rPr>
        <w:t xml:space="preserve"> </w:t>
      </w:r>
      <w:r w:rsidR="00432D77" w:rsidRPr="00432D77">
        <w:rPr>
          <w:rFonts w:ascii="Cambria" w:hAnsi="Cambria"/>
          <w:bCs/>
          <w:szCs w:val="24"/>
        </w:rPr>
        <w:t>Dans le Bâtiment, l'index du Gros Œuvre augmente de 1,2 % et celui du Second Œuvre de 0,2 %. Sur douze mois, l'index général du Bâtiment est en hausse de 3,0 %.</w:t>
      </w:r>
      <w:r>
        <w:rPr>
          <w:rFonts w:ascii="Cambria" w:hAnsi="Cambria"/>
          <w:bCs/>
          <w:szCs w:val="24"/>
        </w:rPr>
        <w:t xml:space="preserve"> </w:t>
      </w:r>
      <w:r w:rsidR="00432D77" w:rsidRPr="00432D77">
        <w:rPr>
          <w:rFonts w:ascii="Cambria" w:hAnsi="Cambria"/>
          <w:bCs/>
          <w:szCs w:val="24"/>
        </w:rPr>
        <w:t>Dans les Travaux Publics, l'index du Génie Civil et celui des Travaux spécialisés restent stables. Sur douze mois, l'index général des Travaux Publics est en hausse de 6,6 %.</w:t>
      </w:r>
    </w:p>
    <w:p w14:paraId="469A559C" w14:textId="77777777" w:rsidR="00D21531" w:rsidRDefault="00D21531" w:rsidP="00D21531">
      <w:pPr>
        <w:pStyle w:val="-LettreSuiteORefPJGEDA"/>
        <w:ind w:left="0"/>
        <w:rPr>
          <w:rFonts w:ascii="Cambria" w:hAnsi="Cambria"/>
          <w:szCs w:val="24"/>
        </w:rPr>
      </w:pPr>
    </w:p>
    <w:p w14:paraId="1BC4D7C2" w14:textId="6B4B58E7" w:rsidR="00432D77" w:rsidRPr="00432D77" w:rsidRDefault="00D21531" w:rsidP="00D21531">
      <w:pPr>
        <w:pStyle w:val="-LettreSuiteORefPJGEDA"/>
        <w:ind w:left="0"/>
        <w:rPr>
          <w:rFonts w:ascii="Cambria" w:hAnsi="Cambria"/>
          <w:szCs w:val="24"/>
        </w:rPr>
      </w:pPr>
      <w:r>
        <w:rPr>
          <w:rFonts w:ascii="Cambria" w:hAnsi="Cambria"/>
          <w:szCs w:val="24"/>
        </w:rPr>
        <w:t>Toujours sur le mois d’</w:t>
      </w:r>
      <w:r w:rsidR="00432D77" w:rsidRPr="00432D77">
        <w:rPr>
          <w:rFonts w:ascii="Cambria" w:hAnsi="Cambria"/>
          <w:szCs w:val="24"/>
        </w:rPr>
        <w:t>août, les index hybrides prennent les valeurs suivantes (base 100 en décembre 2010) :</w:t>
      </w:r>
    </w:p>
    <w:p w14:paraId="6995F029" w14:textId="77777777" w:rsidR="00432D77" w:rsidRPr="00432D77" w:rsidRDefault="00432D77" w:rsidP="00432D77">
      <w:pPr>
        <w:pStyle w:val="-LettreTexteGEDA"/>
        <w:rPr>
          <w:rFonts w:ascii="Cambria" w:hAnsi="Cambria"/>
          <w:szCs w:val="24"/>
        </w:rPr>
      </w:pPr>
    </w:p>
    <w:tbl>
      <w:tblPr>
        <w:tblW w:w="9634"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65"/>
        <w:gridCol w:w="1276"/>
        <w:gridCol w:w="1309"/>
        <w:gridCol w:w="1384"/>
      </w:tblGrid>
      <w:tr w:rsidR="00432D77" w:rsidRPr="00432D77" w14:paraId="5B3DE9E1" w14:textId="77777777" w:rsidTr="008F3993">
        <w:trPr>
          <w:trHeight w:val="315"/>
        </w:trPr>
        <w:tc>
          <w:tcPr>
            <w:tcW w:w="5665" w:type="dxa"/>
            <w:vMerge w:val="restart"/>
            <w:tcBorders>
              <w:top w:val="dotted" w:sz="4" w:space="0" w:color="auto"/>
              <w:left w:val="dotted" w:sz="4" w:space="0" w:color="auto"/>
              <w:bottom w:val="dotted" w:sz="4" w:space="0" w:color="auto"/>
              <w:right w:val="dotted" w:sz="4" w:space="0" w:color="auto"/>
            </w:tcBorders>
            <w:noWrap/>
            <w:vAlign w:val="center"/>
            <w:hideMark/>
          </w:tcPr>
          <w:p w14:paraId="382B480F" w14:textId="77777777" w:rsidR="00432D77" w:rsidRPr="00432D77" w:rsidRDefault="00432D77" w:rsidP="008F3993">
            <w:pPr>
              <w:rPr>
                <w:rFonts w:ascii="Cambria" w:hAnsi="Cambria"/>
                <w:b/>
                <w:color w:val="000000"/>
              </w:rPr>
            </w:pPr>
            <w:r w:rsidRPr="00432D77">
              <w:rPr>
                <w:rFonts w:ascii="Cambria" w:hAnsi="Cambria"/>
                <w:b/>
                <w:color w:val="000000"/>
              </w:rPr>
              <w:t>Index</w:t>
            </w:r>
          </w:p>
        </w:tc>
        <w:tc>
          <w:tcPr>
            <w:tcW w:w="1276" w:type="dxa"/>
            <w:vMerge w:val="restart"/>
            <w:tcBorders>
              <w:top w:val="dotted" w:sz="4" w:space="0" w:color="auto"/>
              <w:left w:val="dotted" w:sz="4" w:space="0" w:color="auto"/>
              <w:bottom w:val="dotted" w:sz="4" w:space="0" w:color="auto"/>
              <w:right w:val="dotted" w:sz="4" w:space="0" w:color="auto"/>
            </w:tcBorders>
            <w:noWrap/>
            <w:vAlign w:val="center"/>
            <w:hideMark/>
          </w:tcPr>
          <w:p w14:paraId="6F784841" w14:textId="77777777" w:rsidR="00432D77" w:rsidRPr="00432D77" w:rsidRDefault="00432D77" w:rsidP="008F3993">
            <w:pPr>
              <w:jc w:val="center"/>
              <w:rPr>
                <w:rFonts w:ascii="Cambria" w:hAnsi="Cambria"/>
                <w:b/>
                <w:color w:val="000000"/>
              </w:rPr>
            </w:pPr>
            <w:r w:rsidRPr="00432D77">
              <w:rPr>
                <w:rFonts w:ascii="Cambria" w:hAnsi="Cambria"/>
                <w:b/>
                <w:color w:val="000000"/>
              </w:rPr>
              <w:t>Valeur</w:t>
            </w:r>
          </w:p>
        </w:tc>
        <w:tc>
          <w:tcPr>
            <w:tcW w:w="2693" w:type="dxa"/>
            <w:gridSpan w:val="2"/>
            <w:tcBorders>
              <w:top w:val="dotted" w:sz="4" w:space="0" w:color="auto"/>
              <w:left w:val="dotted" w:sz="4" w:space="0" w:color="auto"/>
              <w:bottom w:val="dotted" w:sz="4" w:space="0" w:color="auto"/>
              <w:right w:val="dotted" w:sz="4" w:space="0" w:color="auto"/>
            </w:tcBorders>
            <w:noWrap/>
            <w:vAlign w:val="center"/>
            <w:hideMark/>
          </w:tcPr>
          <w:p w14:paraId="7478D986" w14:textId="77777777" w:rsidR="00432D77" w:rsidRPr="00432D77" w:rsidRDefault="00432D77" w:rsidP="008F3993">
            <w:pPr>
              <w:jc w:val="center"/>
              <w:rPr>
                <w:rFonts w:ascii="Cambria" w:hAnsi="Cambria"/>
                <w:b/>
                <w:color w:val="000000"/>
              </w:rPr>
            </w:pPr>
            <w:r w:rsidRPr="00432D77">
              <w:rPr>
                <w:rFonts w:ascii="Cambria" w:hAnsi="Cambria"/>
                <w:b/>
                <w:color w:val="000000"/>
              </w:rPr>
              <w:t>Variations en %</w:t>
            </w:r>
          </w:p>
        </w:tc>
      </w:tr>
      <w:tr w:rsidR="00432D77" w:rsidRPr="00432D77" w14:paraId="0A391E63" w14:textId="77777777" w:rsidTr="008F3993">
        <w:trPr>
          <w:trHeight w:val="315"/>
        </w:trPr>
        <w:tc>
          <w:tcPr>
            <w:tcW w:w="0" w:type="auto"/>
            <w:vMerge/>
            <w:tcBorders>
              <w:top w:val="dotted" w:sz="4" w:space="0" w:color="auto"/>
              <w:left w:val="dotted" w:sz="4" w:space="0" w:color="auto"/>
              <w:bottom w:val="dotted" w:sz="4" w:space="0" w:color="auto"/>
              <w:right w:val="dotted" w:sz="4" w:space="0" w:color="auto"/>
            </w:tcBorders>
            <w:vAlign w:val="center"/>
            <w:hideMark/>
          </w:tcPr>
          <w:p w14:paraId="714254D8" w14:textId="77777777" w:rsidR="00432D77" w:rsidRPr="00432D77" w:rsidRDefault="00432D77" w:rsidP="008F3993">
            <w:pPr>
              <w:rPr>
                <w:rFonts w:ascii="Cambria" w:hAnsi="Cambria"/>
                <w:b/>
                <w:color w:val="000000"/>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18BDE931" w14:textId="77777777" w:rsidR="00432D77" w:rsidRPr="00432D77" w:rsidRDefault="00432D77" w:rsidP="008F3993">
            <w:pPr>
              <w:rPr>
                <w:rFonts w:ascii="Cambria" w:hAnsi="Cambria"/>
                <w:b/>
                <w:color w:val="000000"/>
              </w:rPr>
            </w:pP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48A7C70E" w14:textId="77777777" w:rsidR="00432D77" w:rsidRPr="00432D77" w:rsidRDefault="00432D77" w:rsidP="008F3993">
            <w:pPr>
              <w:jc w:val="center"/>
              <w:rPr>
                <w:rFonts w:ascii="Cambria" w:hAnsi="Cambria"/>
                <w:b/>
                <w:color w:val="000000"/>
              </w:rPr>
            </w:pPr>
            <w:r w:rsidRPr="00432D77">
              <w:rPr>
                <w:rFonts w:ascii="Cambria" w:hAnsi="Cambria"/>
                <w:b/>
                <w:color w:val="000000"/>
              </w:rPr>
              <w:t>Mensuelle</w:t>
            </w:r>
          </w:p>
        </w:tc>
        <w:tc>
          <w:tcPr>
            <w:tcW w:w="1384" w:type="dxa"/>
            <w:tcBorders>
              <w:top w:val="dotted" w:sz="4" w:space="0" w:color="auto"/>
              <w:left w:val="dotted" w:sz="4" w:space="0" w:color="auto"/>
              <w:bottom w:val="dotted" w:sz="4" w:space="0" w:color="auto"/>
              <w:right w:val="dotted" w:sz="4" w:space="0" w:color="auto"/>
            </w:tcBorders>
            <w:vAlign w:val="center"/>
            <w:hideMark/>
          </w:tcPr>
          <w:p w14:paraId="678C3E26" w14:textId="77777777" w:rsidR="00432D77" w:rsidRPr="00432D77" w:rsidRDefault="00432D77" w:rsidP="008F3993">
            <w:pPr>
              <w:jc w:val="center"/>
              <w:rPr>
                <w:rFonts w:ascii="Cambria" w:hAnsi="Cambria"/>
                <w:b/>
                <w:color w:val="000000"/>
              </w:rPr>
            </w:pPr>
            <w:r w:rsidRPr="00432D77">
              <w:rPr>
                <w:rFonts w:ascii="Cambria" w:hAnsi="Cambria"/>
                <w:b/>
                <w:color w:val="000000"/>
              </w:rPr>
              <w:t>Sur 12 mois</w:t>
            </w:r>
          </w:p>
        </w:tc>
      </w:tr>
      <w:tr w:rsidR="00432D77" w:rsidRPr="00432D77" w14:paraId="3434E4DB"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4C4F62A1" w14:textId="77777777" w:rsidR="00432D77" w:rsidRPr="00432D77" w:rsidRDefault="00432D77" w:rsidP="008F3993">
            <w:pPr>
              <w:rPr>
                <w:rFonts w:ascii="Cambria" w:hAnsi="Cambria"/>
                <w:color w:val="000000"/>
              </w:rPr>
            </w:pPr>
            <w:r w:rsidRPr="00432D77">
              <w:rPr>
                <w:rFonts w:ascii="Cambria" w:hAnsi="Cambria"/>
                <w:color w:val="000000"/>
              </w:rPr>
              <w:t>Gardiennage</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1C8789D7" w14:textId="77777777" w:rsidR="00432D77" w:rsidRPr="00432D77" w:rsidRDefault="00432D77" w:rsidP="008F3993">
            <w:pPr>
              <w:jc w:val="center"/>
              <w:rPr>
                <w:rFonts w:ascii="Cambria" w:hAnsi="Cambria"/>
                <w:color w:val="000000"/>
              </w:rPr>
            </w:pPr>
            <w:r w:rsidRPr="00432D77">
              <w:rPr>
                <w:rFonts w:ascii="Cambria" w:hAnsi="Cambria"/>
                <w:color w:val="000000"/>
              </w:rPr>
              <w:t>115,70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16BFBE4C" w14:textId="77777777" w:rsidR="00432D77" w:rsidRPr="00432D77" w:rsidRDefault="00432D77" w:rsidP="008F3993">
            <w:pPr>
              <w:jc w:val="center"/>
              <w:rPr>
                <w:rFonts w:ascii="Cambria" w:hAnsi="Cambria"/>
                <w:color w:val="000000"/>
              </w:rPr>
            </w:pPr>
            <w:r w:rsidRPr="00432D7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14:paraId="54F41E22" w14:textId="77777777" w:rsidR="00432D77" w:rsidRPr="00432D77" w:rsidRDefault="00432D77" w:rsidP="008F3993">
            <w:pPr>
              <w:jc w:val="center"/>
              <w:rPr>
                <w:rFonts w:ascii="Cambria" w:hAnsi="Cambria"/>
                <w:color w:val="000000"/>
              </w:rPr>
            </w:pPr>
            <w:r w:rsidRPr="00432D77">
              <w:rPr>
                <w:rFonts w:ascii="Cambria" w:hAnsi="Cambria"/>
                <w:color w:val="000000"/>
              </w:rPr>
              <w:t>-</w:t>
            </w:r>
          </w:p>
        </w:tc>
      </w:tr>
      <w:tr w:rsidR="00432D77" w:rsidRPr="00432D77" w14:paraId="0B691557"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6C3C6B9D" w14:textId="77777777" w:rsidR="00432D77" w:rsidRPr="00432D77" w:rsidRDefault="00432D77" w:rsidP="008F3993">
            <w:pPr>
              <w:rPr>
                <w:rFonts w:ascii="Cambria" w:hAnsi="Cambria"/>
                <w:color w:val="000000"/>
              </w:rPr>
            </w:pPr>
            <w:r w:rsidRPr="00432D77">
              <w:rPr>
                <w:rFonts w:ascii="Cambria" w:hAnsi="Cambria"/>
                <w:color w:val="000000"/>
              </w:rPr>
              <w:lastRenderedPageBreak/>
              <w:t>Sûreté</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64F95FDE" w14:textId="77777777" w:rsidR="00432D77" w:rsidRPr="00432D77" w:rsidRDefault="00432D77" w:rsidP="008F3993">
            <w:pPr>
              <w:jc w:val="center"/>
              <w:rPr>
                <w:rFonts w:ascii="Cambria" w:hAnsi="Cambria"/>
                <w:color w:val="000000"/>
              </w:rPr>
            </w:pPr>
            <w:r w:rsidRPr="00432D77">
              <w:rPr>
                <w:rFonts w:ascii="Cambria" w:hAnsi="Cambria"/>
                <w:color w:val="000000"/>
              </w:rPr>
              <w:t>110,84</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4DDFAEF9" w14:textId="77777777" w:rsidR="00432D77" w:rsidRPr="00432D77" w:rsidRDefault="00432D77" w:rsidP="008F3993">
            <w:pPr>
              <w:jc w:val="center"/>
              <w:rPr>
                <w:rFonts w:ascii="Cambria" w:hAnsi="Cambria"/>
                <w:color w:val="000000"/>
              </w:rPr>
            </w:pPr>
            <w:r w:rsidRPr="00432D7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14:paraId="194872CE" w14:textId="77777777" w:rsidR="00432D77" w:rsidRPr="00432D77" w:rsidRDefault="00432D77" w:rsidP="008F3993">
            <w:pPr>
              <w:jc w:val="center"/>
              <w:rPr>
                <w:rFonts w:ascii="Cambria" w:hAnsi="Cambria"/>
                <w:color w:val="000000"/>
              </w:rPr>
            </w:pPr>
            <w:r w:rsidRPr="00432D77">
              <w:rPr>
                <w:rFonts w:ascii="Cambria" w:hAnsi="Cambria"/>
                <w:color w:val="000000"/>
              </w:rPr>
              <w:t>-</w:t>
            </w:r>
          </w:p>
        </w:tc>
      </w:tr>
      <w:tr w:rsidR="00432D77" w:rsidRPr="00432D77" w14:paraId="4AA9558F"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59646F8A" w14:textId="77777777" w:rsidR="00432D77" w:rsidRPr="00432D77" w:rsidRDefault="00432D77" w:rsidP="008F3993">
            <w:pPr>
              <w:rPr>
                <w:rFonts w:ascii="Cambria" w:hAnsi="Cambria"/>
                <w:color w:val="000000"/>
              </w:rPr>
            </w:pPr>
            <w:r w:rsidRPr="00432D77">
              <w:rPr>
                <w:rFonts w:ascii="Cambria" w:hAnsi="Cambria"/>
                <w:color w:val="000000"/>
              </w:rPr>
              <w:t>Véhicules Légers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7D17DF2A" w14:textId="77777777" w:rsidR="00432D77" w:rsidRPr="00432D77" w:rsidRDefault="00432D77" w:rsidP="008F3993">
            <w:pPr>
              <w:jc w:val="center"/>
              <w:rPr>
                <w:rFonts w:ascii="Cambria" w:hAnsi="Cambria"/>
                <w:color w:val="000000"/>
              </w:rPr>
            </w:pPr>
            <w:r w:rsidRPr="00432D77">
              <w:rPr>
                <w:rFonts w:ascii="Cambria" w:hAnsi="Cambria"/>
                <w:color w:val="000000"/>
              </w:rPr>
              <w:t>112,83</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17D94CE4" w14:textId="77777777" w:rsidR="00432D77" w:rsidRPr="00432D77" w:rsidRDefault="00432D77" w:rsidP="008F3993">
            <w:pPr>
              <w:jc w:val="center"/>
              <w:rPr>
                <w:rFonts w:ascii="Cambria" w:hAnsi="Cambria"/>
                <w:color w:val="000000"/>
              </w:rPr>
            </w:pPr>
            <w:r w:rsidRPr="00432D7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14:paraId="06677969" w14:textId="77777777" w:rsidR="00432D77" w:rsidRPr="00432D77" w:rsidRDefault="00432D77" w:rsidP="008F3993">
            <w:pPr>
              <w:jc w:val="center"/>
              <w:rPr>
                <w:rFonts w:ascii="Cambria" w:hAnsi="Cambria"/>
                <w:color w:val="000000"/>
              </w:rPr>
            </w:pPr>
            <w:r w:rsidRPr="00432D77">
              <w:rPr>
                <w:rFonts w:ascii="Cambria" w:hAnsi="Cambria"/>
                <w:color w:val="000000"/>
              </w:rPr>
              <w:t>1,2</w:t>
            </w:r>
          </w:p>
        </w:tc>
      </w:tr>
      <w:tr w:rsidR="00432D77" w:rsidRPr="00432D77" w14:paraId="4CDA5829"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5D44336D" w14:textId="77777777" w:rsidR="00432D77" w:rsidRPr="00432D77" w:rsidRDefault="00432D77" w:rsidP="008F3993">
            <w:pPr>
              <w:rPr>
                <w:rFonts w:ascii="Cambria" w:hAnsi="Cambria"/>
                <w:color w:val="000000"/>
              </w:rPr>
            </w:pPr>
            <w:r w:rsidRPr="00432D77">
              <w:rPr>
                <w:rFonts w:ascii="Cambria" w:hAnsi="Cambria"/>
                <w:color w:val="000000"/>
              </w:rPr>
              <w:t>Véhicules de Chantier</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1C75CCB1" w14:textId="77777777" w:rsidR="00432D77" w:rsidRPr="00432D77" w:rsidRDefault="00432D77" w:rsidP="008F3993">
            <w:pPr>
              <w:jc w:val="center"/>
              <w:rPr>
                <w:rFonts w:ascii="Cambria" w:hAnsi="Cambria"/>
                <w:color w:val="000000"/>
              </w:rPr>
            </w:pPr>
            <w:r w:rsidRPr="00432D77">
              <w:rPr>
                <w:rFonts w:ascii="Cambria" w:hAnsi="Cambria"/>
                <w:color w:val="000000"/>
              </w:rPr>
              <w:t>106,30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6E3A71F2" w14:textId="77777777" w:rsidR="00432D77" w:rsidRPr="00432D77" w:rsidRDefault="00432D77" w:rsidP="008F3993">
            <w:pPr>
              <w:jc w:val="center"/>
              <w:rPr>
                <w:rFonts w:ascii="Cambria" w:hAnsi="Cambria"/>
                <w:color w:val="000000"/>
              </w:rPr>
            </w:pPr>
            <w:r w:rsidRPr="00432D7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14:paraId="53325456" w14:textId="77777777" w:rsidR="00432D77" w:rsidRPr="00432D77" w:rsidRDefault="00432D77" w:rsidP="008F3993">
            <w:pPr>
              <w:jc w:val="center"/>
              <w:rPr>
                <w:rFonts w:ascii="Cambria" w:hAnsi="Cambria"/>
                <w:color w:val="000000"/>
              </w:rPr>
            </w:pPr>
            <w:r w:rsidRPr="00432D77">
              <w:rPr>
                <w:rFonts w:ascii="Cambria" w:hAnsi="Cambria"/>
                <w:color w:val="000000"/>
              </w:rPr>
              <w:t>1,0</w:t>
            </w:r>
          </w:p>
        </w:tc>
      </w:tr>
      <w:tr w:rsidR="00432D77" w:rsidRPr="00432D77" w14:paraId="65CD6A77"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6F74EC77" w14:textId="77777777" w:rsidR="00432D77" w:rsidRPr="00432D77" w:rsidRDefault="00432D77" w:rsidP="008F3993">
            <w:pPr>
              <w:rPr>
                <w:rFonts w:ascii="Cambria" w:hAnsi="Cambria"/>
                <w:color w:val="000000"/>
              </w:rPr>
            </w:pPr>
            <w:r w:rsidRPr="00432D77">
              <w:rPr>
                <w:rFonts w:ascii="Cambria" w:hAnsi="Cambria"/>
                <w:color w:val="000000"/>
              </w:rPr>
              <w:t>Construction navale en aluminium</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73A08DAF" w14:textId="77777777" w:rsidR="00432D77" w:rsidRPr="00432D77" w:rsidRDefault="00432D77" w:rsidP="008F3993">
            <w:pPr>
              <w:jc w:val="center"/>
              <w:rPr>
                <w:rFonts w:ascii="Cambria" w:hAnsi="Cambria"/>
                <w:color w:val="000000"/>
              </w:rPr>
            </w:pPr>
            <w:r w:rsidRPr="00432D77">
              <w:rPr>
                <w:rFonts w:ascii="Cambria" w:hAnsi="Cambria"/>
                <w:color w:val="000000"/>
              </w:rPr>
              <w:t>128,36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71686789" w14:textId="77777777" w:rsidR="00432D77" w:rsidRPr="00432D77" w:rsidRDefault="00432D77" w:rsidP="008F3993">
            <w:pPr>
              <w:jc w:val="center"/>
              <w:rPr>
                <w:rFonts w:ascii="Cambria" w:hAnsi="Cambria"/>
                <w:color w:val="000000"/>
              </w:rPr>
            </w:pPr>
            <w:r w:rsidRPr="00432D77">
              <w:rPr>
                <w:rFonts w:ascii="Cambria" w:hAnsi="Cambria"/>
                <w:color w:val="000000"/>
              </w:rPr>
              <w:t>0,5</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4D58E170" w14:textId="77777777" w:rsidR="00432D77" w:rsidRPr="00432D77" w:rsidRDefault="00432D77" w:rsidP="008F3993">
            <w:pPr>
              <w:jc w:val="center"/>
              <w:rPr>
                <w:rFonts w:ascii="Cambria" w:hAnsi="Cambria"/>
                <w:color w:val="000000"/>
              </w:rPr>
            </w:pPr>
            <w:r w:rsidRPr="00432D77">
              <w:rPr>
                <w:rFonts w:ascii="Cambria" w:hAnsi="Cambria"/>
                <w:color w:val="000000"/>
              </w:rPr>
              <w:t>5,5</w:t>
            </w:r>
          </w:p>
        </w:tc>
      </w:tr>
      <w:tr w:rsidR="00432D77" w:rsidRPr="00432D77" w14:paraId="6DB8B153"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147A3CD6" w14:textId="77777777" w:rsidR="00432D77" w:rsidRPr="00432D77" w:rsidRDefault="00432D77" w:rsidP="008F3993">
            <w:pPr>
              <w:rPr>
                <w:rFonts w:ascii="Cambria" w:hAnsi="Cambria"/>
                <w:color w:val="000000"/>
              </w:rPr>
            </w:pPr>
            <w:r w:rsidRPr="00432D77">
              <w:rPr>
                <w:rFonts w:ascii="Cambria" w:hAnsi="Cambria"/>
                <w:color w:val="000000"/>
              </w:rPr>
              <w:t>Fourniture de pièces détachées pour navires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307C9CE8" w14:textId="77777777" w:rsidR="00432D77" w:rsidRPr="00432D77" w:rsidRDefault="00432D77" w:rsidP="008F3993">
            <w:pPr>
              <w:jc w:val="center"/>
              <w:rPr>
                <w:rFonts w:ascii="Cambria" w:hAnsi="Cambria"/>
                <w:color w:val="000000"/>
              </w:rPr>
            </w:pPr>
            <w:r w:rsidRPr="00432D77">
              <w:rPr>
                <w:rFonts w:ascii="Cambria" w:hAnsi="Cambria"/>
                <w:color w:val="000000"/>
              </w:rPr>
              <w:t>111,23</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379C4ED7" w14:textId="77777777" w:rsidR="00432D77" w:rsidRPr="00432D77" w:rsidRDefault="00432D77" w:rsidP="008F3993">
            <w:pPr>
              <w:jc w:val="center"/>
              <w:rPr>
                <w:rFonts w:ascii="Cambria" w:hAnsi="Cambria"/>
                <w:color w:val="000000"/>
              </w:rPr>
            </w:pPr>
            <w:r w:rsidRPr="00432D7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028970CA" w14:textId="77777777" w:rsidR="00432D77" w:rsidRPr="00432D77" w:rsidRDefault="00432D77" w:rsidP="008F3993">
            <w:pPr>
              <w:jc w:val="center"/>
              <w:rPr>
                <w:rFonts w:ascii="Cambria" w:hAnsi="Cambria"/>
                <w:color w:val="000000"/>
              </w:rPr>
            </w:pPr>
            <w:r w:rsidRPr="00432D77">
              <w:rPr>
                <w:rFonts w:ascii="Cambria" w:hAnsi="Cambria"/>
                <w:color w:val="000000"/>
              </w:rPr>
              <w:t>1,1</w:t>
            </w:r>
          </w:p>
        </w:tc>
      </w:tr>
      <w:tr w:rsidR="00432D77" w:rsidRPr="00432D77" w14:paraId="18818F5B"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14:paraId="6177A2FB" w14:textId="77777777" w:rsidR="00432D77" w:rsidRPr="00432D77" w:rsidRDefault="00432D77" w:rsidP="008F3993">
            <w:pPr>
              <w:rPr>
                <w:rFonts w:ascii="Cambria" w:hAnsi="Cambria"/>
                <w:color w:val="000000"/>
              </w:rPr>
            </w:pPr>
            <w:r w:rsidRPr="00432D77">
              <w:rPr>
                <w:rFonts w:ascii="Cambria" w:hAnsi="Cambria"/>
                <w:color w:val="000000"/>
              </w:rPr>
              <w:t>Index des Transports Publics Terrestres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14:paraId="45B46242" w14:textId="77777777" w:rsidR="00432D77" w:rsidRPr="00432D77" w:rsidRDefault="00432D77" w:rsidP="008F3993">
            <w:pPr>
              <w:jc w:val="center"/>
              <w:rPr>
                <w:rFonts w:ascii="Cambria" w:hAnsi="Cambria"/>
                <w:color w:val="000000"/>
              </w:rPr>
            </w:pPr>
            <w:r w:rsidRPr="00432D77">
              <w:rPr>
                <w:rFonts w:ascii="Cambria" w:hAnsi="Cambria"/>
                <w:color w:val="000000"/>
              </w:rPr>
              <w:t>106,78</w:t>
            </w:r>
          </w:p>
        </w:tc>
        <w:tc>
          <w:tcPr>
            <w:tcW w:w="1309" w:type="dxa"/>
            <w:tcBorders>
              <w:top w:val="dotted" w:sz="4" w:space="0" w:color="auto"/>
              <w:left w:val="dotted" w:sz="4" w:space="0" w:color="auto"/>
              <w:bottom w:val="dotted" w:sz="4" w:space="0" w:color="auto"/>
              <w:right w:val="dotted" w:sz="4" w:space="0" w:color="auto"/>
            </w:tcBorders>
            <w:noWrap/>
            <w:vAlign w:val="center"/>
            <w:hideMark/>
          </w:tcPr>
          <w:p w14:paraId="342A471C" w14:textId="77777777" w:rsidR="00432D77" w:rsidRPr="00432D77" w:rsidRDefault="00432D77" w:rsidP="008F3993">
            <w:pPr>
              <w:jc w:val="center"/>
              <w:rPr>
                <w:rFonts w:ascii="Cambria" w:hAnsi="Cambria"/>
                <w:color w:val="000000"/>
              </w:rPr>
            </w:pPr>
            <w:r w:rsidRPr="00432D77">
              <w:rPr>
                <w:rFonts w:ascii="Cambria" w:hAnsi="Cambria"/>
                <w:color w:val="000000"/>
              </w:rPr>
              <w:t>-0,1</w:t>
            </w:r>
          </w:p>
        </w:tc>
        <w:tc>
          <w:tcPr>
            <w:tcW w:w="1384" w:type="dxa"/>
            <w:tcBorders>
              <w:top w:val="dotted" w:sz="4" w:space="0" w:color="auto"/>
              <w:left w:val="dotted" w:sz="4" w:space="0" w:color="auto"/>
              <w:bottom w:val="dotted" w:sz="4" w:space="0" w:color="auto"/>
              <w:right w:val="dotted" w:sz="4" w:space="0" w:color="auto"/>
            </w:tcBorders>
            <w:noWrap/>
            <w:vAlign w:val="center"/>
            <w:hideMark/>
          </w:tcPr>
          <w:p w14:paraId="54F6BB70" w14:textId="77777777" w:rsidR="00432D77" w:rsidRPr="00432D77" w:rsidRDefault="00432D77" w:rsidP="008F3993">
            <w:pPr>
              <w:jc w:val="center"/>
              <w:rPr>
                <w:rFonts w:ascii="Cambria" w:hAnsi="Cambria"/>
                <w:color w:val="000000"/>
              </w:rPr>
            </w:pPr>
            <w:r w:rsidRPr="00432D77">
              <w:rPr>
                <w:rFonts w:ascii="Cambria" w:hAnsi="Cambria"/>
                <w:color w:val="000000"/>
              </w:rPr>
              <w:t>1,3</w:t>
            </w:r>
          </w:p>
        </w:tc>
      </w:tr>
      <w:tr w:rsidR="00432D77" w:rsidRPr="00432D77" w14:paraId="315E1EA5"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tcPr>
          <w:p w14:paraId="3D655D77" w14:textId="77777777" w:rsidR="00432D77" w:rsidRPr="00432D77" w:rsidRDefault="00432D77" w:rsidP="008F3993">
            <w:pPr>
              <w:rPr>
                <w:rFonts w:ascii="Cambria" w:hAnsi="Cambria"/>
                <w:color w:val="000000"/>
              </w:rPr>
            </w:pPr>
            <w:r w:rsidRPr="00432D77">
              <w:rPr>
                <w:rFonts w:ascii="Cambria" w:hAnsi="Cambria"/>
                <w:color w:val="000000"/>
              </w:rPr>
              <w:t>Index des Assurances</w:t>
            </w:r>
          </w:p>
        </w:tc>
        <w:tc>
          <w:tcPr>
            <w:tcW w:w="1276" w:type="dxa"/>
            <w:tcBorders>
              <w:top w:val="dotted" w:sz="4" w:space="0" w:color="auto"/>
              <w:left w:val="dotted" w:sz="4" w:space="0" w:color="auto"/>
              <w:bottom w:val="dotted" w:sz="4" w:space="0" w:color="auto"/>
              <w:right w:val="dotted" w:sz="4" w:space="0" w:color="auto"/>
            </w:tcBorders>
            <w:noWrap/>
            <w:vAlign w:val="center"/>
          </w:tcPr>
          <w:p w14:paraId="74BF7C0A" w14:textId="77777777" w:rsidR="00432D77" w:rsidRPr="00432D77" w:rsidRDefault="00432D77" w:rsidP="008F3993">
            <w:pPr>
              <w:jc w:val="center"/>
              <w:rPr>
                <w:rFonts w:ascii="Cambria" w:hAnsi="Cambria"/>
                <w:color w:val="000000"/>
              </w:rPr>
            </w:pPr>
            <w:r w:rsidRPr="00432D77">
              <w:rPr>
                <w:rFonts w:ascii="Cambria" w:hAnsi="Cambria"/>
                <w:color w:val="000000"/>
              </w:rPr>
              <w:t>101,73</w:t>
            </w:r>
          </w:p>
        </w:tc>
        <w:tc>
          <w:tcPr>
            <w:tcW w:w="1309" w:type="dxa"/>
            <w:tcBorders>
              <w:top w:val="dotted" w:sz="4" w:space="0" w:color="auto"/>
              <w:left w:val="dotted" w:sz="4" w:space="0" w:color="auto"/>
              <w:bottom w:val="dotted" w:sz="4" w:space="0" w:color="auto"/>
              <w:right w:val="dotted" w:sz="4" w:space="0" w:color="auto"/>
            </w:tcBorders>
            <w:noWrap/>
            <w:vAlign w:val="center"/>
          </w:tcPr>
          <w:p w14:paraId="7106755B" w14:textId="77777777" w:rsidR="00432D77" w:rsidRPr="00432D77" w:rsidRDefault="00432D77" w:rsidP="008F3993">
            <w:pPr>
              <w:jc w:val="center"/>
              <w:rPr>
                <w:rFonts w:ascii="Cambria" w:hAnsi="Cambria"/>
                <w:color w:val="000000"/>
              </w:rPr>
            </w:pPr>
            <w:r w:rsidRPr="00432D77">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tcPr>
          <w:p w14:paraId="1FD1094A" w14:textId="77777777" w:rsidR="00432D77" w:rsidRPr="00432D77" w:rsidRDefault="00432D77" w:rsidP="008F3993">
            <w:pPr>
              <w:jc w:val="center"/>
              <w:rPr>
                <w:rFonts w:ascii="Cambria" w:hAnsi="Cambria"/>
                <w:color w:val="000000"/>
              </w:rPr>
            </w:pPr>
            <w:r w:rsidRPr="00432D77">
              <w:rPr>
                <w:rFonts w:ascii="Cambria" w:hAnsi="Cambria"/>
                <w:color w:val="000000"/>
              </w:rPr>
              <w:t>-0,8</w:t>
            </w:r>
          </w:p>
        </w:tc>
      </w:tr>
      <w:tr w:rsidR="00432D77" w:rsidRPr="00432D77" w14:paraId="262F8664" w14:textId="77777777" w:rsidTr="008F3993">
        <w:trPr>
          <w:trHeight w:val="315"/>
        </w:trPr>
        <w:tc>
          <w:tcPr>
            <w:tcW w:w="5665" w:type="dxa"/>
            <w:tcBorders>
              <w:top w:val="dotted" w:sz="4" w:space="0" w:color="auto"/>
              <w:left w:val="dotted" w:sz="4" w:space="0" w:color="auto"/>
              <w:bottom w:val="dotted" w:sz="4" w:space="0" w:color="auto"/>
              <w:right w:val="dotted" w:sz="4" w:space="0" w:color="auto"/>
            </w:tcBorders>
            <w:noWrap/>
            <w:vAlign w:val="center"/>
          </w:tcPr>
          <w:p w14:paraId="02CA73B7" w14:textId="77777777" w:rsidR="00432D77" w:rsidRPr="00432D77" w:rsidRDefault="00432D77" w:rsidP="008F3993">
            <w:pPr>
              <w:rPr>
                <w:rFonts w:ascii="Cambria" w:hAnsi="Cambria"/>
                <w:color w:val="000000"/>
              </w:rPr>
            </w:pPr>
            <w:r w:rsidRPr="00432D77">
              <w:rPr>
                <w:rFonts w:ascii="Cambria" w:hAnsi="Cambria"/>
                <w:color w:val="000000"/>
              </w:rPr>
              <w:t>Index du Transport Aérien International</w:t>
            </w:r>
          </w:p>
        </w:tc>
        <w:tc>
          <w:tcPr>
            <w:tcW w:w="1276" w:type="dxa"/>
            <w:tcBorders>
              <w:top w:val="dotted" w:sz="4" w:space="0" w:color="auto"/>
              <w:left w:val="dotted" w:sz="4" w:space="0" w:color="auto"/>
              <w:bottom w:val="dotted" w:sz="4" w:space="0" w:color="auto"/>
              <w:right w:val="dotted" w:sz="4" w:space="0" w:color="auto"/>
            </w:tcBorders>
            <w:noWrap/>
            <w:vAlign w:val="center"/>
          </w:tcPr>
          <w:p w14:paraId="2BC5E9CE" w14:textId="77777777" w:rsidR="00432D77" w:rsidRPr="00432D77" w:rsidRDefault="00432D77" w:rsidP="008F3993">
            <w:pPr>
              <w:jc w:val="center"/>
              <w:rPr>
                <w:rFonts w:ascii="Cambria" w:hAnsi="Cambria"/>
                <w:color w:val="000000"/>
              </w:rPr>
            </w:pPr>
            <w:r w:rsidRPr="00432D77">
              <w:rPr>
                <w:rFonts w:ascii="Cambria" w:hAnsi="Cambria"/>
                <w:color w:val="000000"/>
              </w:rPr>
              <w:t>107,96</w:t>
            </w:r>
          </w:p>
        </w:tc>
        <w:tc>
          <w:tcPr>
            <w:tcW w:w="1309" w:type="dxa"/>
            <w:tcBorders>
              <w:top w:val="dotted" w:sz="4" w:space="0" w:color="auto"/>
              <w:left w:val="dotted" w:sz="4" w:space="0" w:color="auto"/>
              <w:bottom w:val="dotted" w:sz="4" w:space="0" w:color="auto"/>
              <w:right w:val="dotted" w:sz="4" w:space="0" w:color="auto"/>
            </w:tcBorders>
            <w:noWrap/>
            <w:vAlign w:val="center"/>
          </w:tcPr>
          <w:p w14:paraId="62A751C3" w14:textId="77777777" w:rsidR="00432D77" w:rsidRPr="00432D77" w:rsidRDefault="00432D77" w:rsidP="008F3993">
            <w:pPr>
              <w:jc w:val="center"/>
              <w:rPr>
                <w:rFonts w:ascii="Cambria" w:hAnsi="Cambria"/>
                <w:color w:val="000000"/>
              </w:rPr>
            </w:pPr>
            <w:r w:rsidRPr="00432D77">
              <w:rPr>
                <w:rFonts w:ascii="Cambria" w:hAnsi="Cambria"/>
                <w:color w:val="000000"/>
              </w:rPr>
              <w:t>1,3</w:t>
            </w:r>
          </w:p>
        </w:tc>
        <w:tc>
          <w:tcPr>
            <w:tcW w:w="1384" w:type="dxa"/>
            <w:tcBorders>
              <w:top w:val="dotted" w:sz="4" w:space="0" w:color="auto"/>
              <w:left w:val="dotted" w:sz="4" w:space="0" w:color="auto"/>
              <w:bottom w:val="dotted" w:sz="4" w:space="0" w:color="auto"/>
              <w:right w:val="dotted" w:sz="4" w:space="0" w:color="auto"/>
            </w:tcBorders>
            <w:noWrap/>
            <w:vAlign w:val="center"/>
          </w:tcPr>
          <w:p w14:paraId="47F89316" w14:textId="77777777" w:rsidR="00432D77" w:rsidRPr="00432D77" w:rsidRDefault="00432D77" w:rsidP="008F3993">
            <w:pPr>
              <w:jc w:val="center"/>
              <w:rPr>
                <w:rFonts w:ascii="Cambria" w:hAnsi="Cambria"/>
                <w:color w:val="000000"/>
              </w:rPr>
            </w:pPr>
            <w:r w:rsidRPr="00432D77">
              <w:rPr>
                <w:rFonts w:ascii="Cambria" w:hAnsi="Cambria"/>
                <w:color w:val="000000"/>
              </w:rPr>
              <w:t>14,2</w:t>
            </w:r>
          </w:p>
        </w:tc>
      </w:tr>
    </w:tbl>
    <w:p w14:paraId="235A4B7F" w14:textId="02012AE0" w:rsidR="00432D77" w:rsidRDefault="00432D77" w:rsidP="00D21531">
      <w:pPr>
        <w:pStyle w:val="-LettreTexteGEDA"/>
        <w:spacing w:after="240"/>
        <w:ind w:firstLine="0"/>
        <w:rPr>
          <w:bCs/>
        </w:rPr>
      </w:pPr>
    </w:p>
    <w:p w14:paraId="01D6971D" w14:textId="25887427" w:rsidR="00D21531" w:rsidRPr="00D21531" w:rsidRDefault="00D21531" w:rsidP="00D21531">
      <w:pPr>
        <w:pStyle w:val="-LettreTexteGEDA"/>
        <w:spacing w:after="240"/>
        <w:ind w:firstLine="0"/>
        <w:rPr>
          <w:rFonts w:ascii="Cambria" w:hAnsi="Cambria"/>
          <w:bCs/>
        </w:rPr>
      </w:pPr>
    </w:p>
    <w:p w14:paraId="3787B58B" w14:textId="0B3890C9" w:rsidR="00D21531" w:rsidRPr="00D21531" w:rsidRDefault="00D21531" w:rsidP="00D21531">
      <w:pPr>
        <w:pStyle w:val="-LettreObjetGEDA"/>
        <w:tabs>
          <w:tab w:val="left" w:pos="709"/>
        </w:tabs>
        <w:rPr>
          <w:rFonts w:ascii="Cambria" w:eastAsia="Arial Unicode MS" w:hAnsi="Cambria"/>
          <w:b/>
          <w:lang w:eastAsia="en-US"/>
        </w:rPr>
      </w:pPr>
      <w:r w:rsidRPr="00D21531">
        <w:rPr>
          <w:rFonts w:ascii="Cambria" w:hAnsi="Cambria"/>
          <w:b/>
          <w:noProof w:val="0"/>
        </w:rPr>
        <w:t>A</w:t>
      </w:r>
      <w:r w:rsidRPr="00D21531">
        <w:rPr>
          <w:rFonts w:ascii="Cambria" w:hAnsi="Cambria"/>
          <w:b/>
        </w:rPr>
        <w:t>pprobation d’une rectification du PGA de Moorea</w:t>
      </w:r>
    </w:p>
    <w:p w14:paraId="6C4C7075" w14:textId="77777777" w:rsidR="00D21531" w:rsidRPr="00D21531" w:rsidRDefault="00D21531" w:rsidP="00D21531">
      <w:pPr>
        <w:pStyle w:val="-LettreTexteGEDA"/>
        <w:spacing w:after="120"/>
        <w:ind w:firstLine="0"/>
        <w:rPr>
          <w:rFonts w:ascii="Cambria" w:hAnsi="Cambria"/>
          <w:noProof w:val="0"/>
        </w:rPr>
      </w:pPr>
    </w:p>
    <w:p w14:paraId="4B8325F9" w14:textId="6756CE83" w:rsidR="00D21531" w:rsidRDefault="00D21531" w:rsidP="00D21531">
      <w:pPr>
        <w:pStyle w:val="NormalWeb"/>
        <w:jc w:val="both"/>
        <w:rPr>
          <w:rFonts w:ascii="Cambria" w:hAnsi="Cambria"/>
        </w:rPr>
      </w:pPr>
      <w:r w:rsidRPr="00D21531">
        <w:rPr>
          <w:rFonts w:ascii="Cambria" w:hAnsi="Cambria"/>
        </w:rPr>
        <w:t xml:space="preserve">Le Conseil des ministres a approuvé une rectification du PGA </w:t>
      </w:r>
      <w:r>
        <w:rPr>
          <w:rFonts w:ascii="Cambria" w:hAnsi="Cambria"/>
        </w:rPr>
        <w:t xml:space="preserve">(Plan général d’aménagement) </w:t>
      </w:r>
      <w:r w:rsidRPr="00D21531">
        <w:rPr>
          <w:rFonts w:ascii="Cambria" w:hAnsi="Cambria"/>
        </w:rPr>
        <w:t xml:space="preserve">de la commune de Moorea, consistant à déclasser une zone d’équipement pour la requalifier en zone urbaine, dans un quartier de </w:t>
      </w:r>
      <w:proofErr w:type="spellStart"/>
      <w:r w:rsidRPr="00D21531">
        <w:rPr>
          <w:rFonts w:ascii="Cambria" w:hAnsi="Cambria"/>
        </w:rPr>
        <w:t>Maharepa</w:t>
      </w:r>
      <w:proofErr w:type="spellEnd"/>
      <w:r w:rsidRPr="00D21531">
        <w:rPr>
          <w:rFonts w:ascii="Cambria" w:hAnsi="Cambria"/>
        </w:rPr>
        <w:t xml:space="preserve">. L’objectif de cette rectification est de permettre la réalisation d’un projet de développement économique, rendu aujourd'hui impossible par le classement d’une partie de sa parcelle en zone </w:t>
      </w:r>
      <w:r>
        <w:rPr>
          <w:rFonts w:ascii="Cambria" w:hAnsi="Cambria"/>
        </w:rPr>
        <w:t>d’équipement</w:t>
      </w:r>
      <w:r w:rsidRPr="00D21531">
        <w:rPr>
          <w:rFonts w:ascii="Cambria" w:hAnsi="Cambria"/>
        </w:rPr>
        <w:t>.</w:t>
      </w:r>
    </w:p>
    <w:p w14:paraId="083D6105" w14:textId="35BF9FBC" w:rsidR="004A3526" w:rsidRDefault="004A3526" w:rsidP="00D21531">
      <w:pPr>
        <w:pStyle w:val="NormalWeb"/>
        <w:jc w:val="both"/>
        <w:rPr>
          <w:rFonts w:ascii="Cambria" w:hAnsi="Cambria"/>
        </w:rPr>
      </w:pPr>
    </w:p>
    <w:p w14:paraId="5AA8ECEC" w14:textId="77777777" w:rsidR="004A3526" w:rsidRDefault="004A3526" w:rsidP="004A3526">
      <w:pPr>
        <w:pStyle w:val="NormalWeb"/>
        <w:jc w:val="both"/>
        <w:rPr>
          <w:rFonts w:ascii="Cambria" w:hAnsi="Cambria"/>
          <w:b/>
          <w:bCs/>
        </w:rPr>
      </w:pPr>
      <w:r w:rsidRPr="00AA254D">
        <w:rPr>
          <w:rFonts w:ascii="Cambria" w:hAnsi="Cambria"/>
          <w:b/>
          <w:bCs/>
        </w:rPr>
        <w:t>Subventions en faveur de 29 associations sportives et 3 associations de jeunesse</w:t>
      </w:r>
    </w:p>
    <w:p w14:paraId="1D960842" w14:textId="77777777" w:rsidR="004A3526" w:rsidRPr="00AA254D" w:rsidRDefault="004A3526" w:rsidP="004A3526">
      <w:pPr>
        <w:pStyle w:val="NormalWeb"/>
        <w:jc w:val="both"/>
        <w:rPr>
          <w:rFonts w:ascii="Cambria" w:hAnsi="Cambria"/>
          <w:b/>
          <w:bCs/>
        </w:rPr>
      </w:pPr>
    </w:p>
    <w:p w14:paraId="1FC77C62" w14:textId="77777777" w:rsidR="004A3526" w:rsidRPr="00AA254D" w:rsidRDefault="004A3526" w:rsidP="004A3526">
      <w:pPr>
        <w:pStyle w:val="NormalWeb"/>
        <w:jc w:val="both"/>
        <w:rPr>
          <w:rFonts w:ascii="Cambria" w:hAnsi="Cambria"/>
        </w:rPr>
      </w:pPr>
      <w:r w:rsidRPr="00AA254D">
        <w:rPr>
          <w:rFonts w:ascii="Cambria" w:hAnsi="Cambria"/>
        </w:rPr>
        <w:t xml:space="preserve">Le Conseil des </w:t>
      </w:r>
      <w:r>
        <w:rPr>
          <w:rFonts w:ascii="Cambria" w:hAnsi="Cambria"/>
        </w:rPr>
        <w:t>m</w:t>
      </w:r>
      <w:r w:rsidRPr="00AA254D">
        <w:rPr>
          <w:rFonts w:ascii="Cambria" w:hAnsi="Cambria"/>
        </w:rPr>
        <w:t xml:space="preserve">inistres a adopté l'octroi de subventions pour un montant total </w:t>
      </w:r>
      <w:r w:rsidRPr="00AA254D">
        <w:rPr>
          <w:rFonts w:ascii="Cambria" w:hAnsi="Cambria"/>
          <w:bCs/>
        </w:rPr>
        <w:t xml:space="preserve">32 786 299 </w:t>
      </w:r>
      <w:proofErr w:type="spellStart"/>
      <w:r w:rsidRPr="00AA254D">
        <w:rPr>
          <w:rFonts w:ascii="Cambria" w:hAnsi="Cambria"/>
          <w:bCs/>
        </w:rPr>
        <w:t>F</w:t>
      </w:r>
      <w:r>
        <w:rPr>
          <w:rFonts w:ascii="Cambria" w:hAnsi="Cambria"/>
          <w:bCs/>
        </w:rPr>
        <w:t>cfp</w:t>
      </w:r>
      <w:proofErr w:type="spellEnd"/>
      <w:r w:rsidRPr="00AA254D">
        <w:rPr>
          <w:rFonts w:ascii="Cambria" w:hAnsi="Cambria"/>
        </w:rPr>
        <w:t xml:space="preserve"> :</w:t>
      </w:r>
    </w:p>
    <w:p w14:paraId="42FB7C1D" w14:textId="77777777" w:rsidR="004A3526" w:rsidRPr="00AA254D" w:rsidRDefault="004A3526" w:rsidP="004A3526">
      <w:pPr>
        <w:pStyle w:val="NormalWeb"/>
        <w:numPr>
          <w:ilvl w:val="0"/>
          <w:numId w:val="41"/>
        </w:numPr>
        <w:jc w:val="both"/>
        <w:rPr>
          <w:rFonts w:ascii="Cambria" w:hAnsi="Cambria"/>
        </w:rPr>
      </w:pPr>
      <w:r w:rsidRPr="00AA254D">
        <w:rPr>
          <w:rFonts w:ascii="Cambria" w:hAnsi="Cambria"/>
          <w:bCs/>
        </w:rPr>
        <w:t>Au titre du sport</w:t>
      </w:r>
      <w:r>
        <w:rPr>
          <w:rFonts w:ascii="Cambria" w:hAnsi="Cambria"/>
          <w:bCs/>
        </w:rPr>
        <w:t>,</w:t>
      </w:r>
      <w:r w:rsidRPr="00AA254D">
        <w:rPr>
          <w:rFonts w:ascii="Cambria" w:hAnsi="Cambria"/>
          <w:bCs/>
        </w:rPr>
        <w:t xml:space="preserve"> pour un montant de 30 034 000 </w:t>
      </w:r>
      <w:proofErr w:type="spellStart"/>
      <w:r w:rsidRPr="00AA254D">
        <w:rPr>
          <w:rFonts w:ascii="Cambria" w:hAnsi="Cambria"/>
          <w:bCs/>
        </w:rPr>
        <w:t>F</w:t>
      </w:r>
      <w:r>
        <w:rPr>
          <w:rFonts w:ascii="Cambria" w:hAnsi="Cambria"/>
          <w:bCs/>
        </w:rPr>
        <w:t>cfp</w:t>
      </w:r>
      <w:proofErr w:type="spellEnd"/>
      <w:r>
        <w:rPr>
          <w:rFonts w:ascii="Cambria" w:hAnsi="Cambria"/>
          <w:bCs/>
        </w:rPr>
        <w:t>,</w:t>
      </w:r>
      <w:r w:rsidRPr="00AA254D">
        <w:rPr>
          <w:rFonts w:ascii="Cambria" w:hAnsi="Cambria"/>
        </w:rPr>
        <w:t xml:space="preserve"> après avis de la commission du sport</w:t>
      </w:r>
      <w:r>
        <w:rPr>
          <w:rFonts w:ascii="Cambria" w:hAnsi="Cambria"/>
        </w:rPr>
        <w:t>,</w:t>
      </w:r>
      <w:r w:rsidRPr="00AA254D">
        <w:rPr>
          <w:rFonts w:ascii="Cambria" w:hAnsi="Cambria"/>
        </w:rPr>
        <w:t xml:space="preserve"> sur la base des critères relatifs notamment au développement de la pratique sportive, l’organisation de compétitions, de formations, sport sant</w:t>
      </w:r>
      <w:r>
        <w:rPr>
          <w:rFonts w:ascii="Cambria" w:hAnsi="Cambria"/>
        </w:rPr>
        <w:t>é,</w:t>
      </w:r>
      <w:r w:rsidRPr="00AA254D">
        <w:rPr>
          <w:rFonts w:ascii="Cambria" w:hAnsi="Cambria"/>
        </w:rPr>
        <w:t xml:space="preserve"> en faveur des</w:t>
      </w:r>
      <w:r>
        <w:rPr>
          <w:rFonts w:ascii="Cambria" w:hAnsi="Cambria"/>
        </w:rPr>
        <w:t xml:space="preserve"> associations </w:t>
      </w:r>
      <w:proofErr w:type="gramStart"/>
      <w:r>
        <w:rPr>
          <w:rFonts w:ascii="Cambria" w:hAnsi="Cambria"/>
        </w:rPr>
        <w:t>suivantes</w:t>
      </w:r>
      <w:r w:rsidRPr="00AA254D">
        <w:rPr>
          <w:rFonts w:ascii="Cambria" w:hAnsi="Cambria"/>
        </w:rPr>
        <w:t>:</w:t>
      </w:r>
      <w:proofErr w:type="gramEnd"/>
      <w:r w:rsidRPr="00AA254D">
        <w:rPr>
          <w:rFonts w:ascii="Cambria" w:hAnsi="Cambria"/>
        </w:rPr>
        <w:t xml:space="preserve"> </w:t>
      </w:r>
    </w:p>
    <w:p w14:paraId="44D54D6F"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t xml:space="preserve">Association </w:t>
      </w:r>
      <w:proofErr w:type="spellStart"/>
      <w:r w:rsidRPr="00AA254D">
        <w:rPr>
          <w:rFonts w:ascii="Cambria" w:hAnsi="Cambria"/>
        </w:rPr>
        <w:t>A</w:t>
      </w:r>
      <w:r>
        <w:rPr>
          <w:rFonts w:ascii="Cambria" w:hAnsi="Cambria"/>
        </w:rPr>
        <w:t>rimat</w:t>
      </w:r>
      <w:proofErr w:type="spellEnd"/>
      <w:r w:rsidRPr="00AA254D">
        <w:rPr>
          <w:rFonts w:ascii="Cambria" w:hAnsi="Cambria"/>
        </w:rPr>
        <w:t xml:space="preserve">, </w:t>
      </w:r>
      <w:proofErr w:type="spellStart"/>
      <w:r w:rsidRPr="00AA254D">
        <w:rPr>
          <w:rFonts w:ascii="Cambria" w:hAnsi="Cambria"/>
        </w:rPr>
        <w:t>A</w:t>
      </w:r>
      <w:r>
        <w:rPr>
          <w:rFonts w:ascii="Cambria" w:hAnsi="Cambria"/>
        </w:rPr>
        <w:t>ito</w:t>
      </w:r>
      <w:proofErr w:type="spellEnd"/>
      <w:r w:rsidRPr="00AA254D">
        <w:rPr>
          <w:rFonts w:ascii="Cambria" w:hAnsi="Cambria"/>
        </w:rPr>
        <w:t xml:space="preserve"> P</w:t>
      </w:r>
      <w:r>
        <w:rPr>
          <w:rFonts w:ascii="Cambria" w:hAnsi="Cambria"/>
        </w:rPr>
        <w:t>aea</w:t>
      </w:r>
      <w:r w:rsidRPr="00AA254D">
        <w:rPr>
          <w:rFonts w:ascii="Cambria" w:hAnsi="Cambria"/>
        </w:rPr>
        <w:t xml:space="preserve">, </w:t>
      </w:r>
      <w:proofErr w:type="spellStart"/>
      <w:r w:rsidRPr="00AA254D">
        <w:rPr>
          <w:rFonts w:ascii="Cambria" w:hAnsi="Cambria"/>
        </w:rPr>
        <w:t>T</w:t>
      </w:r>
      <w:r>
        <w:rPr>
          <w:rFonts w:ascii="Cambria" w:hAnsi="Cambria"/>
        </w:rPr>
        <w:t>ahitian</w:t>
      </w:r>
      <w:proofErr w:type="spellEnd"/>
      <w:r w:rsidRPr="00AA254D">
        <w:rPr>
          <w:rFonts w:ascii="Cambria" w:hAnsi="Cambria"/>
        </w:rPr>
        <w:t xml:space="preserve"> P</w:t>
      </w:r>
      <w:r>
        <w:rPr>
          <w:rFonts w:ascii="Cambria" w:hAnsi="Cambria"/>
        </w:rPr>
        <w:t>addle</w:t>
      </w:r>
      <w:r w:rsidRPr="00AA254D">
        <w:rPr>
          <w:rFonts w:ascii="Cambria" w:hAnsi="Cambria"/>
        </w:rPr>
        <w:t>, T</w:t>
      </w:r>
      <w:r>
        <w:rPr>
          <w:rFonts w:ascii="Cambria" w:hAnsi="Cambria"/>
        </w:rPr>
        <w:t xml:space="preserve">efana </w:t>
      </w:r>
      <w:proofErr w:type="spellStart"/>
      <w:r>
        <w:rPr>
          <w:rFonts w:ascii="Cambria" w:hAnsi="Cambria"/>
        </w:rPr>
        <w:t>va’a</w:t>
      </w:r>
      <w:proofErr w:type="spellEnd"/>
      <w:r w:rsidRPr="00AA254D">
        <w:rPr>
          <w:rFonts w:ascii="Cambria" w:hAnsi="Cambria"/>
        </w:rPr>
        <w:t xml:space="preserve">, </w:t>
      </w:r>
      <w:r>
        <w:rPr>
          <w:rFonts w:ascii="Cambria" w:hAnsi="Cambria"/>
        </w:rPr>
        <w:t>Basket-Ball</w:t>
      </w:r>
      <w:r w:rsidRPr="00AA254D">
        <w:rPr>
          <w:rFonts w:ascii="Cambria" w:hAnsi="Cambria"/>
        </w:rPr>
        <w:t xml:space="preserve"> </w:t>
      </w:r>
      <w:proofErr w:type="spellStart"/>
      <w:r w:rsidRPr="00AA254D">
        <w:rPr>
          <w:rFonts w:ascii="Cambria" w:hAnsi="Cambria"/>
        </w:rPr>
        <w:t>M</w:t>
      </w:r>
      <w:r>
        <w:rPr>
          <w:rFonts w:ascii="Cambria" w:hAnsi="Cambria"/>
        </w:rPr>
        <w:t>ataiki</w:t>
      </w:r>
      <w:proofErr w:type="spellEnd"/>
      <w:r w:rsidRPr="00AA254D">
        <w:rPr>
          <w:rFonts w:ascii="Cambria" w:hAnsi="Cambria"/>
        </w:rPr>
        <w:t xml:space="preserve">, </w:t>
      </w:r>
      <w:r>
        <w:rPr>
          <w:rFonts w:ascii="Cambria" w:hAnsi="Cambria"/>
        </w:rPr>
        <w:t>Comités des sports de Tubuai</w:t>
      </w:r>
      <w:r w:rsidRPr="00AA254D">
        <w:rPr>
          <w:rFonts w:ascii="Cambria" w:hAnsi="Cambria"/>
        </w:rPr>
        <w:t>, Cercle d'</w:t>
      </w:r>
      <w:r>
        <w:rPr>
          <w:rFonts w:ascii="Cambria" w:hAnsi="Cambria"/>
        </w:rPr>
        <w:t xml:space="preserve">aviron polynésien </w:t>
      </w:r>
      <w:r w:rsidRPr="00AA254D">
        <w:rPr>
          <w:rFonts w:ascii="Cambria" w:hAnsi="Cambria"/>
        </w:rPr>
        <w:t xml:space="preserve">(CAP) </w:t>
      </w:r>
      <w:proofErr w:type="spellStart"/>
      <w:r w:rsidRPr="00AA254D">
        <w:rPr>
          <w:rFonts w:ascii="Cambria" w:hAnsi="Cambria"/>
        </w:rPr>
        <w:t>M</w:t>
      </w:r>
      <w:r>
        <w:rPr>
          <w:rFonts w:ascii="Cambria" w:hAnsi="Cambria"/>
        </w:rPr>
        <w:t>arara</w:t>
      </w:r>
      <w:proofErr w:type="spellEnd"/>
      <w:r w:rsidRPr="00AA254D">
        <w:rPr>
          <w:rFonts w:ascii="Cambria" w:hAnsi="Cambria"/>
        </w:rPr>
        <w:t xml:space="preserve">, </w:t>
      </w:r>
      <w:r>
        <w:rPr>
          <w:rFonts w:ascii="Cambria" w:hAnsi="Cambria"/>
        </w:rPr>
        <w:t>Kona Tri</w:t>
      </w:r>
      <w:r w:rsidRPr="00AA254D">
        <w:rPr>
          <w:rFonts w:ascii="Cambria" w:hAnsi="Cambria"/>
        </w:rPr>
        <w:t xml:space="preserve">, </w:t>
      </w:r>
      <w:r>
        <w:rPr>
          <w:rFonts w:ascii="Cambria" w:hAnsi="Cambria"/>
        </w:rPr>
        <w:t xml:space="preserve">Tahiti </w:t>
      </w:r>
      <w:proofErr w:type="spellStart"/>
      <w:r>
        <w:rPr>
          <w:rFonts w:ascii="Cambria" w:hAnsi="Cambria"/>
        </w:rPr>
        <w:t>Iti</w:t>
      </w:r>
      <w:proofErr w:type="spellEnd"/>
      <w:r>
        <w:rPr>
          <w:rFonts w:ascii="Cambria" w:hAnsi="Cambria"/>
        </w:rPr>
        <w:t xml:space="preserve"> Surf Club</w:t>
      </w:r>
      <w:r w:rsidRPr="00AA254D">
        <w:rPr>
          <w:rFonts w:ascii="Cambria" w:hAnsi="Cambria"/>
        </w:rPr>
        <w:t xml:space="preserve">, </w:t>
      </w:r>
      <w:proofErr w:type="spellStart"/>
      <w:r w:rsidRPr="00AA254D">
        <w:rPr>
          <w:rFonts w:ascii="Cambria" w:hAnsi="Cambria"/>
        </w:rPr>
        <w:t>T</w:t>
      </w:r>
      <w:r>
        <w:rPr>
          <w:rFonts w:ascii="Cambria" w:hAnsi="Cambria"/>
        </w:rPr>
        <w:t>amarii</w:t>
      </w:r>
      <w:proofErr w:type="spellEnd"/>
      <w:r w:rsidRPr="00AA254D">
        <w:rPr>
          <w:rFonts w:ascii="Cambria" w:hAnsi="Cambria"/>
        </w:rPr>
        <w:t xml:space="preserve"> </w:t>
      </w:r>
      <w:r>
        <w:rPr>
          <w:rFonts w:ascii="Cambria" w:hAnsi="Cambria"/>
        </w:rPr>
        <w:t xml:space="preserve">te </w:t>
      </w:r>
      <w:proofErr w:type="spellStart"/>
      <w:r>
        <w:rPr>
          <w:rFonts w:ascii="Cambria" w:hAnsi="Cambria"/>
        </w:rPr>
        <w:t>uira</w:t>
      </w:r>
      <w:proofErr w:type="spellEnd"/>
      <w:r w:rsidRPr="00AA254D">
        <w:rPr>
          <w:rFonts w:ascii="Cambria" w:hAnsi="Cambria"/>
        </w:rPr>
        <w:t xml:space="preserve"> </w:t>
      </w:r>
      <w:proofErr w:type="spellStart"/>
      <w:r>
        <w:rPr>
          <w:rFonts w:ascii="Cambria" w:hAnsi="Cambria"/>
        </w:rPr>
        <w:t>tahi</w:t>
      </w:r>
      <w:proofErr w:type="spellEnd"/>
      <w:r>
        <w:rPr>
          <w:rFonts w:ascii="Cambria" w:hAnsi="Cambria"/>
        </w:rPr>
        <w:t xml:space="preserve"> </w:t>
      </w:r>
      <w:proofErr w:type="spellStart"/>
      <w:r>
        <w:rPr>
          <w:rFonts w:ascii="Cambria" w:hAnsi="Cambria"/>
        </w:rPr>
        <w:t>ata</w:t>
      </w:r>
      <w:proofErr w:type="spellEnd"/>
      <w:r w:rsidRPr="00AA254D">
        <w:rPr>
          <w:rFonts w:ascii="Cambria" w:hAnsi="Cambria"/>
        </w:rPr>
        <w:t xml:space="preserve"> </w:t>
      </w:r>
      <w:r>
        <w:rPr>
          <w:rFonts w:ascii="Cambria" w:hAnsi="Cambria"/>
        </w:rPr>
        <w:t>boxing club</w:t>
      </w:r>
      <w:r w:rsidRPr="00AA254D">
        <w:rPr>
          <w:rFonts w:ascii="Cambria" w:hAnsi="Cambria"/>
        </w:rPr>
        <w:t xml:space="preserve">, </w:t>
      </w:r>
      <w:r>
        <w:rPr>
          <w:rFonts w:ascii="Cambria" w:hAnsi="Cambria"/>
        </w:rPr>
        <w:t xml:space="preserve">Pirae </w:t>
      </w:r>
      <w:proofErr w:type="spellStart"/>
      <w:r>
        <w:rPr>
          <w:rFonts w:ascii="Cambria" w:hAnsi="Cambria"/>
        </w:rPr>
        <w:t>va’a</w:t>
      </w:r>
      <w:proofErr w:type="spellEnd"/>
      <w:r w:rsidRPr="00AA254D">
        <w:rPr>
          <w:rFonts w:ascii="Cambria" w:hAnsi="Cambria"/>
        </w:rPr>
        <w:t xml:space="preserve">, </w:t>
      </w:r>
      <w:proofErr w:type="spellStart"/>
      <w:r w:rsidRPr="00AA254D">
        <w:rPr>
          <w:rFonts w:ascii="Cambria" w:hAnsi="Cambria"/>
        </w:rPr>
        <w:t>S</w:t>
      </w:r>
      <w:r>
        <w:rPr>
          <w:rFonts w:ascii="Cambria" w:hAnsi="Cambria"/>
        </w:rPr>
        <w:t>phere</w:t>
      </w:r>
      <w:proofErr w:type="spellEnd"/>
      <w:r w:rsidRPr="00AA254D">
        <w:rPr>
          <w:rFonts w:ascii="Cambria" w:hAnsi="Cambria"/>
        </w:rPr>
        <w:t xml:space="preserve"> MMA, </w:t>
      </w:r>
      <w:r>
        <w:rPr>
          <w:rFonts w:ascii="Cambria" w:hAnsi="Cambria"/>
        </w:rPr>
        <w:t xml:space="preserve">Jeunesse </w:t>
      </w:r>
      <w:proofErr w:type="spellStart"/>
      <w:r>
        <w:rPr>
          <w:rFonts w:ascii="Cambria" w:hAnsi="Cambria"/>
        </w:rPr>
        <w:t>Toahotu</w:t>
      </w:r>
      <w:proofErr w:type="spellEnd"/>
      <w:r w:rsidRPr="00AA254D">
        <w:rPr>
          <w:rFonts w:ascii="Cambria" w:hAnsi="Cambria"/>
        </w:rPr>
        <w:t>, F</w:t>
      </w:r>
      <w:r>
        <w:rPr>
          <w:rFonts w:ascii="Cambria" w:hAnsi="Cambria"/>
        </w:rPr>
        <w:t>enua sauvetage</w:t>
      </w:r>
      <w:r w:rsidRPr="00AA254D">
        <w:rPr>
          <w:rFonts w:ascii="Cambria" w:hAnsi="Cambria"/>
        </w:rPr>
        <w:t>, F</w:t>
      </w:r>
      <w:r>
        <w:rPr>
          <w:rFonts w:ascii="Cambria" w:hAnsi="Cambria"/>
        </w:rPr>
        <w:t xml:space="preserve">aaa Hockey Club, </w:t>
      </w:r>
      <w:r w:rsidRPr="00AA254D">
        <w:rPr>
          <w:rFonts w:ascii="Cambria" w:hAnsi="Cambria"/>
        </w:rPr>
        <w:t>J</w:t>
      </w:r>
      <w:r>
        <w:rPr>
          <w:rFonts w:ascii="Cambria" w:hAnsi="Cambria"/>
        </w:rPr>
        <w:t>eunesse rugby Moorea</w:t>
      </w:r>
      <w:r w:rsidRPr="00AA254D">
        <w:rPr>
          <w:rFonts w:ascii="Cambria" w:hAnsi="Cambria"/>
        </w:rPr>
        <w:t>, F</w:t>
      </w:r>
      <w:r>
        <w:rPr>
          <w:rFonts w:ascii="Cambria" w:hAnsi="Cambria"/>
        </w:rPr>
        <w:t xml:space="preserve">aaa rugby </w:t>
      </w:r>
      <w:proofErr w:type="spellStart"/>
      <w:r w:rsidRPr="00AA254D">
        <w:rPr>
          <w:rFonts w:ascii="Cambria" w:hAnsi="Cambria"/>
        </w:rPr>
        <w:t>A</w:t>
      </w:r>
      <w:r>
        <w:rPr>
          <w:rFonts w:ascii="Cambria" w:hAnsi="Cambria"/>
        </w:rPr>
        <w:t>ro</w:t>
      </w:r>
      <w:proofErr w:type="spellEnd"/>
      <w:r w:rsidRPr="00AA254D">
        <w:rPr>
          <w:rFonts w:ascii="Cambria" w:hAnsi="Cambria"/>
        </w:rPr>
        <w:t xml:space="preserve"> </w:t>
      </w:r>
      <w:proofErr w:type="spellStart"/>
      <w:r w:rsidRPr="00AA254D">
        <w:rPr>
          <w:rFonts w:ascii="Cambria" w:hAnsi="Cambria"/>
        </w:rPr>
        <w:t>A</w:t>
      </w:r>
      <w:r>
        <w:rPr>
          <w:rFonts w:ascii="Cambria" w:hAnsi="Cambria"/>
        </w:rPr>
        <w:t>cademy</w:t>
      </w:r>
      <w:proofErr w:type="spellEnd"/>
      <w:r w:rsidRPr="00AA254D">
        <w:rPr>
          <w:rFonts w:ascii="Cambria" w:hAnsi="Cambria"/>
        </w:rPr>
        <w:t xml:space="preserve">, </w:t>
      </w:r>
      <w:proofErr w:type="spellStart"/>
      <w:r w:rsidRPr="00AA254D">
        <w:rPr>
          <w:rFonts w:ascii="Cambria" w:hAnsi="Cambria"/>
        </w:rPr>
        <w:t>M</w:t>
      </w:r>
      <w:r>
        <w:rPr>
          <w:rFonts w:ascii="Cambria" w:hAnsi="Cambria"/>
        </w:rPr>
        <w:t>arara</w:t>
      </w:r>
      <w:proofErr w:type="spellEnd"/>
      <w:r>
        <w:rPr>
          <w:rFonts w:ascii="Cambria" w:hAnsi="Cambria"/>
        </w:rPr>
        <w:t xml:space="preserve"> Tri</w:t>
      </w:r>
      <w:r w:rsidRPr="00AA254D">
        <w:rPr>
          <w:rFonts w:ascii="Cambria" w:hAnsi="Cambria"/>
        </w:rPr>
        <w:t xml:space="preserve">, </w:t>
      </w:r>
      <w:proofErr w:type="spellStart"/>
      <w:r w:rsidRPr="00AA254D">
        <w:rPr>
          <w:rFonts w:ascii="Cambria" w:hAnsi="Cambria"/>
        </w:rPr>
        <w:t>M</w:t>
      </w:r>
      <w:r>
        <w:rPr>
          <w:rFonts w:ascii="Cambria" w:hAnsi="Cambria"/>
        </w:rPr>
        <w:t>ou’a</w:t>
      </w:r>
      <w:proofErr w:type="spellEnd"/>
      <w:r>
        <w:rPr>
          <w:rFonts w:ascii="Cambria" w:hAnsi="Cambria"/>
        </w:rPr>
        <w:t xml:space="preserve"> </w:t>
      </w:r>
      <w:proofErr w:type="spellStart"/>
      <w:r>
        <w:rPr>
          <w:rFonts w:ascii="Cambria" w:hAnsi="Cambria"/>
        </w:rPr>
        <w:t>Tamiti</w:t>
      </w:r>
      <w:proofErr w:type="spellEnd"/>
      <w:r>
        <w:rPr>
          <w:rFonts w:ascii="Cambria" w:hAnsi="Cambria"/>
        </w:rPr>
        <w:t xml:space="preserve"> no </w:t>
      </w:r>
      <w:proofErr w:type="spellStart"/>
      <w:r>
        <w:rPr>
          <w:rFonts w:ascii="Cambria" w:hAnsi="Cambria"/>
        </w:rPr>
        <w:t>Papara</w:t>
      </w:r>
      <w:proofErr w:type="spellEnd"/>
      <w:r w:rsidRPr="00AA254D">
        <w:rPr>
          <w:rFonts w:ascii="Cambria" w:hAnsi="Cambria"/>
        </w:rPr>
        <w:t>, Dragon, Fei Pi 1923, Jeunes Tahitiens (JT), Excelsior, Central Sport, pour le financement de leur activités générales,</w:t>
      </w:r>
    </w:p>
    <w:p w14:paraId="4608808D"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t xml:space="preserve">Association </w:t>
      </w:r>
      <w:proofErr w:type="spellStart"/>
      <w:r w:rsidRPr="00AA254D">
        <w:rPr>
          <w:rFonts w:ascii="Cambria" w:hAnsi="Cambria"/>
        </w:rPr>
        <w:t>A</w:t>
      </w:r>
      <w:r>
        <w:rPr>
          <w:rFonts w:ascii="Cambria" w:hAnsi="Cambria"/>
        </w:rPr>
        <w:t>hurena</w:t>
      </w:r>
      <w:proofErr w:type="spellEnd"/>
      <w:r w:rsidRPr="00AA254D">
        <w:rPr>
          <w:rFonts w:ascii="Cambria" w:hAnsi="Cambria"/>
        </w:rPr>
        <w:t xml:space="preserve"> pour le financement de la participation au championnat de volley et la participation au </w:t>
      </w:r>
      <w:r>
        <w:rPr>
          <w:rFonts w:ascii="Cambria" w:hAnsi="Cambria"/>
        </w:rPr>
        <w:t>F</w:t>
      </w:r>
      <w:r w:rsidRPr="00AA254D">
        <w:rPr>
          <w:rFonts w:ascii="Cambria" w:hAnsi="Cambria"/>
        </w:rPr>
        <w:t xml:space="preserve">estival des </w:t>
      </w:r>
      <w:r>
        <w:rPr>
          <w:rFonts w:ascii="Cambria" w:hAnsi="Cambria"/>
        </w:rPr>
        <w:t>î</w:t>
      </w:r>
      <w:r w:rsidRPr="00AA254D">
        <w:rPr>
          <w:rFonts w:ascii="Cambria" w:hAnsi="Cambria"/>
        </w:rPr>
        <w:t>les de futsal sur Tahiti,</w:t>
      </w:r>
    </w:p>
    <w:p w14:paraId="4F388A46"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t>Association T</w:t>
      </w:r>
      <w:r>
        <w:rPr>
          <w:rFonts w:ascii="Cambria" w:hAnsi="Cambria"/>
        </w:rPr>
        <w:t>e</w:t>
      </w:r>
      <w:r w:rsidRPr="00AA254D">
        <w:rPr>
          <w:rFonts w:ascii="Cambria" w:hAnsi="Cambria"/>
        </w:rPr>
        <w:t xml:space="preserve"> </w:t>
      </w:r>
      <w:proofErr w:type="spellStart"/>
      <w:r w:rsidRPr="00AA254D">
        <w:rPr>
          <w:rFonts w:ascii="Cambria" w:hAnsi="Cambria"/>
        </w:rPr>
        <w:t>A</w:t>
      </w:r>
      <w:r>
        <w:rPr>
          <w:rFonts w:ascii="Cambria" w:hAnsi="Cambria"/>
        </w:rPr>
        <w:t>naorivai</w:t>
      </w:r>
      <w:proofErr w:type="spellEnd"/>
      <w:r w:rsidRPr="00AA254D">
        <w:rPr>
          <w:rFonts w:ascii="Cambria" w:hAnsi="Cambria"/>
        </w:rPr>
        <w:t xml:space="preserve"> pour le financement de la préparation et de l'organisation d'un stage d'initiateur Canyon en 2021</w:t>
      </w:r>
    </w:p>
    <w:p w14:paraId="471D6C3B"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t xml:space="preserve">Association </w:t>
      </w:r>
      <w:r>
        <w:rPr>
          <w:rFonts w:ascii="Cambria" w:hAnsi="Cambria"/>
        </w:rPr>
        <w:t xml:space="preserve">culturelle district </w:t>
      </w:r>
      <w:proofErr w:type="spellStart"/>
      <w:r>
        <w:rPr>
          <w:rFonts w:ascii="Cambria" w:hAnsi="Cambria"/>
        </w:rPr>
        <w:t>Vaka</w:t>
      </w:r>
      <w:proofErr w:type="spellEnd"/>
      <w:r w:rsidRPr="00AA254D">
        <w:rPr>
          <w:rFonts w:ascii="Cambria" w:hAnsi="Cambria"/>
        </w:rPr>
        <w:t xml:space="preserve"> de </w:t>
      </w:r>
      <w:proofErr w:type="spellStart"/>
      <w:r>
        <w:rPr>
          <w:rFonts w:ascii="Cambria" w:hAnsi="Cambria"/>
        </w:rPr>
        <w:t>Ua</w:t>
      </w:r>
      <w:proofErr w:type="spellEnd"/>
      <w:r>
        <w:rPr>
          <w:rFonts w:ascii="Cambria" w:hAnsi="Cambria"/>
        </w:rPr>
        <w:t xml:space="preserve"> Pou</w:t>
      </w:r>
      <w:r w:rsidRPr="00AA254D">
        <w:rPr>
          <w:rFonts w:ascii="Cambria" w:hAnsi="Cambria"/>
        </w:rPr>
        <w:t xml:space="preserve"> pour le financement du projet Te </w:t>
      </w:r>
      <w:proofErr w:type="spellStart"/>
      <w:r w:rsidRPr="00AA254D">
        <w:rPr>
          <w:rFonts w:ascii="Cambria" w:hAnsi="Cambria"/>
        </w:rPr>
        <w:t>Vaka</w:t>
      </w:r>
      <w:proofErr w:type="spellEnd"/>
      <w:r w:rsidRPr="00AA254D">
        <w:rPr>
          <w:rFonts w:ascii="Cambria" w:hAnsi="Cambria"/>
        </w:rPr>
        <w:t xml:space="preserve"> Horizon 2027,</w:t>
      </w:r>
    </w:p>
    <w:p w14:paraId="4ECDF43E"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lastRenderedPageBreak/>
        <w:t xml:space="preserve">Association </w:t>
      </w:r>
      <w:proofErr w:type="spellStart"/>
      <w:r w:rsidRPr="00AA254D">
        <w:rPr>
          <w:rFonts w:ascii="Cambria" w:hAnsi="Cambria"/>
        </w:rPr>
        <w:t>P</w:t>
      </w:r>
      <w:r>
        <w:rPr>
          <w:rFonts w:ascii="Cambria" w:hAnsi="Cambria"/>
        </w:rPr>
        <w:t>aturoa</w:t>
      </w:r>
      <w:proofErr w:type="spellEnd"/>
      <w:r w:rsidRPr="00AA254D">
        <w:rPr>
          <w:rFonts w:ascii="Cambria" w:hAnsi="Cambria"/>
        </w:rPr>
        <w:t xml:space="preserve"> pour le financement de l'organisation et de la participation à la </w:t>
      </w:r>
      <w:proofErr w:type="spellStart"/>
      <w:r w:rsidRPr="00AA254D">
        <w:rPr>
          <w:rFonts w:ascii="Cambria" w:hAnsi="Cambria"/>
        </w:rPr>
        <w:t>Raimana</w:t>
      </w:r>
      <w:proofErr w:type="spellEnd"/>
      <w:r w:rsidRPr="00AA254D">
        <w:rPr>
          <w:rFonts w:ascii="Cambria" w:hAnsi="Cambria"/>
        </w:rPr>
        <w:t xml:space="preserve"> Race,</w:t>
      </w:r>
    </w:p>
    <w:p w14:paraId="4E1FBC13" w14:textId="77777777" w:rsidR="004A3526" w:rsidRDefault="004A3526" w:rsidP="004A3526">
      <w:pPr>
        <w:pStyle w:val="NormalWeb"/>
        <w:numPr>
          <w:ilvl w:val="0"/>
          <w:numId w:val="40"/>
        </w:numPr>
        <w:jc w:val="both"/>
        <w:rPr>
          <w:rFonts w:ascii="Cambria" w:hAnsi="Cambria"/>
        </w:rPr>
      </w:pPr>
      <w:r w:rsidRPr="00AA254D">
        <w:rPr>
          <w:rFonts w:ascii="Cambria" w:hAnsi="Cambria"/>
        </w:rPr>
        <w:t xml:space="preserve">Association </w:t>
      </w:r>
      <w:r>
        <w:rPr>
          <w:rFonts w:ascii="Cambria" w:hAnsi="Cambria"/>
        </w:rPr>
        <w:t>Judo club</w:t>
      </w:r>
      <w:r w:rsidRPr="00AA254D">
        <w:rPr>
          <w:rFonts w:ascii="Cambria" w:hAnsi="Cambria"/>
        </w:rPr>
        <w:t xml:space="preserve"> de </w:t>
      </w:r>
      <w:proofErr w:type="spellStart"/>
      <w:r w:rsidRPr="00AA254D">
        <w:rPr>
          <w:rFonts w:ascii="Cambria" w:hAnsi="Cambria"/>
        </w:rPr>
        <w:t>T</w:t>
      </w:r>
      <w:r>
        <w:rPr>
          <w:rFonts w:ascii="Cambria" w:hAnsi="Cambria"/>
        </w:rPr>
        <w:t>aravao</w:t>
      </w:r>
      <w:proofErr w:type="spellEnd"/>
      <w:r>
        <w:rPr>
          <w:rFonts w:ascii="Cambria" w:hAnsi="Cambria"/>
        </w:rPr>
        <w:t xml:space="preserve"> </w:t>
      </w:r>
      <w:r w:rsidRPr="00AA254D">
        <w:rPr>
          <w:rFonts w:ascii="Cambria" w:hAnsi="Cambria"/>
        </w:rPr>
        <w:t>pour le financement de l'organisation de rencontre inter-</w:t>
      </w:r>
      <w:r>
        <w:rPr>
          <w:rFonts w:ascii="Cambria" w:hAnsi="Cambria"/>
        </w:rPr>
        <w:t>î</w:t>
      </w:r>
      <w:r w:rsidRPr="00AA254D">
        <w:rPr>
          <w:rFonts w:ascii="Cambria" w:hAnsi="Cambria"/>
        </w:rPr>
        <w:t>les sur Rangiroa et sur Raiatea</w:t>
      </w:r>
    </w:p>
    <w:p w14:paraId="327EFEAB" w14:textId="77777777" w:rsidR="004A3526" w:rsidRPr="00AA254D" w:rsidRDefault="004A3526" w:rsidP="004A3526">
      <w:pPr>
        <w:pStyle w:val="NormalWeb"/>
        <w:ind w:left="786"/>
        <w:jc w:val="both"/>
        <w:rPr>
          <w:rFonts w:ascii="Cambria" w:hAnsi="Cambria"/>
        </w:rPr>
      </w:pPr>
    </w:p>
    <w:p w14:paraId="4CFCB0D3" w14:textId="77777777" w:rsidR="004A3526" w:rsidRPr="00AA254D" w:rsidRDefault="004A3526" w:rsidP="004A3526">
      <w:pPr>
        <w:pStyle w:val="NormalWeb"/>
        <w:numPr>
          <w:ilvl w:val="0"/>
          <w:numId w:val="41"/>
        </w:numPr>
        <w:jc w:val="both"/>
        <w:rPr>
          <w:rFonts w:ascii="Cambria" w:hAnsi="Cambria"/>
        </w:rPr>
      </w:pPr>
      <w:r w:rsidRPr="00AA254D">
        <w:rPr>
          <w:rFonts w:ascii="Cambria" w:hAnsi="Cambria"/>
          <w:bCs/>
        </w:rPr>
        <w:t>Au titre de la jeunesse</w:t>
      </w:r>
      <w:r>
        <w:rPr>
          <w:rFonts w:ascii="Cambria" w:hAnsi="Cambria"/>
          <w:bCs/>
        </w:rPr>
        <w:t>,</w:t>
      </w:r>
      <w:r w:rsidRPr="00AA254D">
        <w:rPr>
          <w:rFonts w:ascii="Cambria" w:hAnsi="Cambria"/>
          <w:bCs/>
        </w:rPr>
        <w:t xml:space="preserve"> en </w:t>
      </w:r>
      <w:proofErr w:type="spellStart"/>
      <w:proofErr w:type="gramStart"/>
      <w:r w:rsidRPr="00AA254D">
        <w:rPr>
          <w:rFonts w:ascii="Cambria" w:hAnsi="Cambria"/>
          <w:bCs/>
        </w:rPr>
        <w:t>investissemen</w:t>
      </w:r>
      <w:r>
        <w:rPr>
          <w:rFonts w:ascii="Cambria" w:hAnsi="Cambria"/>
          <w:bCs/>
        </w:rPr>
        <w:t>,</w:t>
      </w:r>
      <w:r w:rsidRPr="00AA254D">
        <w:rPr>
          <w:rFonts w:ascii="Cambria" w:hAnsi="Cambria"/>
          <w:bCs/>
        </w:rPr>
        <w:t>t</w:t>
      </w:r>
      <w:proofErr w:type="spellEnd"/>
      <w:proofErr w:type="gramEnd"/>
      <w:r w:rsidRPr="00AA254D">
        <w:rPr>
          <w:rFonts w:ascii="Cambria" w:hAnsi="Cambria"/>
          <w:bCs/>
        </w:rPr>
        <w:t xml:space="preserve"> pour un montant de 2 752 299 </w:t>
      </w:r>
      <w:proofErr w:type="spellStart"/>
      <w:r w:rsidRPr="00AA254D">
        <w:rPr>
          <w:rFonts w:ascii="Cambria" w:hAnsi="Cambria"/>
          <w:bCs/>
        </w:rPr>
        <w:t>F</w:t>
      </w:r>
      <w:r>
        <w:rPr>
          <w:rFonts w:ascii="Cambria" w:hAnsi="Cambria"/>
          <w:bCs/>
        </w:rPr>
        <w:t>cfp</w:t>
      </w:r>
      <w:proofErr w:type="spellEnd"/>
      <w:r w:rsidRPr="00AA254D">
        <w:rPr>
          <w:rFonts w:ascii="Cambria" w:hAnsi="Cambria"/>
          <w:b/>
        </w:rPr>
        <w:t xml:space="preserve"> </w:t>
      </w:r>
      <w:r w:rsidRPr="00AA254D">
        <w:rPr>
          <w:rFonts w:ascii="Cambria" w:hAnsi="Cambria"/>
        </w:rPr>
        <w:t xml:space="preserve">en faveur de : </w:t>
      </w:r>
    </w:p>
    <w:p w14:paraId="15186C2A"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t>Association MEJ Marquises pour l’achat de Panneaux Solaire,</w:t>
      </w:r>
    </w:p>
    <w:p w14:paraId="64FA551B"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t xml:space="preserve">Association </w:t>
      </w:r>
      <w:proofErr w:type="spellStart"/>
      <w:r w:rsidRPr="00AA254D">
        <w:rPr>
          <w:rFonts w:ascii="Cambria" w:hAnsi="Cambria"/>
        </w:rPr>
        <w:t>Heiva</w:t>
      </w:r>
      <w:proofErr w:type="spellEnd"/>
      <w:r w:rsidRPr="00AA254D">
        <w:rPr>
          <w:rFonts w:ascii="Cambria" w:hAnsi="Cambria"/>
        </w:rPr>
        <w:t xml:space="preserve"> I T</w:t>
      </w:r>
      <w:r>
        <w:rPr>
          <w:rFonts w:ascii="Cambria" w:hAnsi="Cambria"/>
        </w:rPr>
        <w:t>atakoto</w:t>
      </w:r>
      <w:r w:rsidRPr="00AA254D">
        <w:rPr>
          <w:rFonts w:ascii="Cambria" w:hAnsi="Cambria"/>
        </w:rPr>
        <w:t xml:space="preserve"> pour l’acquisition de différents matériels de musique,</w:t>
      </w:r>
    </w:p>
    <w:p w14:paraId="729FE271" w14:textId="77777777" w:rsidR="004A3526" w:rsidRPr="00AA254D" w:rsidRDefault="004A3526" w:rsidP="004A3526">
      <w:pPr>
        <w:pStyle w:val="NormalWeb"/>
        <w:numPr>
          <w:ilvl w:val="0"/>
          <w:numId w:val="40"/>
        </w:numPr>
        <w:jc w:val="both"/>
        <w:rPr>
          <w:rFonts w:ascii="Cambria" w:hAnsi="Cambria"/>
        </w:rPr>
      </w:pPr>
      <w:r w:rsidRPr="00AA254D">
        <w:rPr>
          <w:rFonts w:ascii="Cambria" w:hAnsi="Cambria"/>
        </w:rPr>
        <w:t>Association Jeunesse K</w:t>
      </w:r>
      <w:r>
        <w:rPr>
          <w:rFonts w:ascii="Cambria" w:hAnsi="Cambria"/>
        </w:rPr>
        <w:t>auehi</w:t>
      </w:r>
      <w:r w:rsidRPr="00AA254D">
        <w:rPr>
          <w:rFonts w:ascii="Cambria" w:hAnsi="Cambria"/>
        </w:rPr>
        <w:t xml:space="preserve"> pour l’acquisition de différents matériels informatiques,</w:t>
      </w:r>
    </w:p>
    <w:p w14:paraId="7ABF0FFE" w14:textId="77777777" w:rsidR="004A3526" w:rsidRPr="00AA254D" w:rsidRDefault="004A3526" w:rsidP="004A3526">
      <w:pPr>
        <w:pStyle w:val="NormalWeb"/>
        <w:jc w:val="both"/>
        <w:rPr>
          <w:rFonts w:ascii="Cambria" w:hAnsi="Cambria"/>
        </w:rPr>
      </w:pPr>
    </w:p>
    <w:p w14:paraId="0ED588B9" w14:textId="77777777" w:rsidR="004A3526" w:rsidRDefault="004A3526" w:rsidP="004A3526">
      <w:pPr>
        <w:pStyle w:val="NormalWeb"/>
        <w:jc w:val="both"/>
        <w:rPr>
          <w:rFonts w:ascii="Cambria" w:hAnsi="Cambria"/>
          <w:b/>
          <w:bCs/>
          <w:color w:val="FF0000"/>
        </w:rPr>
      </w:pPr>
    </w:p>
    <w:p w14:paraId="30EAE804" w14:textId="77777777" w:rsidR="004A3526" w:rsidRPr="007F1C20" w:rsidRDefault="004A3526" w:rsidP="004A3526">
      <w:pPr>
        <w:pStyle w:val="NormalWeb"/>
        <w:jc w:val="both"/>
        <w:rPr>
          <w:rFonts w:ascii="Cambria" w:hAnsi="Cambria"/>
          <w:b/>
          <w:bCs/>
          <w:color w:val="auto"/>
        </w:rPr>
      </w:pPr>
      <w:r w:rsidRPr="007F1C20">
        <w:rPr>
          <w:rFonts w:ascii="Cambria" w:hAnsi="Cambria"/>
          <w:b/>
          <w:bCs/>
          <w:color w:val="auto"/>
        </w:rPr>
        <w:t xml:space="preserve">Modification du code de l’environnement pour les installations classées </w:t>
      </w:r>
    </w:p>
    <w:p w14:paraId="3ED3ADE1" w14:textId="77777777" w:rsidR="004A3526" w:rsidRPr="007F1C20" w:rsidRDefault="004A3526" w:rsidP="004A3526">
      <w:pPr>
        <w:pStyle w:val="NormalWeb"/>
        <w:jc w:val="both"/>
        <w:rPr>
          <w:rFonts w:ascii="Cambria" w:hAnsi="Cambria"/>
          <w:b/>
          <w:bCs/>
          <w:color w:val="auto"/>
        </w:rPr>
      </w:pPr>
    </w:p>
    <w:p w14:paraId="59C27511" w14:textId="77777777" w:rsidR="004A3526" w:rsidRPr="007F1C20" w:rsidRDefault="004A3526" w:rsidP="004A3526">
      <w:pPr>
        <w:pStyle w:val="NormalWeb"/>
        <w:jc w:val="both"/>
        <w:rPr>
          <w:rFonts w:ascii="Cambria" w:hAnsi="Cambria"/>
          <w:color w:val="auto"/>
        </w:rPr>
      </w:pPr>
      <w:r w:rsidRPr="007F1C20">
        <w:rPr>
          <w:rFonts w:ascii="Cambria" w:hAnsi="Cambria"/>
          <w:color w:val="auto"/>
        </w:rPr>
        <w:t>Sur proposition du ministre de la Culture et de l’environnement, le Conseil des ministres a pris un arrêté modifiant le code de l’environnement de la Polynésie française.</w:t>
      </w:r>
    </w:p>
    <w:p w14:paraId="1411EF56" w14:textId="77777777" w:rsidR="004A3526" w:rsidRPr="007F1C20" w:rsidRDefault="004A3526" w:rsidP="004A3526">
      <w:pPr>
        <w:pStyle w:val="NormalWeb"/>
        <w:jc w:val="both"/>
        <w:rPr>
          <w:rFonts w:ascii="Cambria" w:hAnsi="Cambria"/>
          <w:color w:val="auto"/>
        </w:rPr>
      </w:pPr>
      <w:r w:rsidRPr="007F1C20">
        <w:rPr>
          <w:rFonts w:ascii="Cambria" w:hAnsi="Cambria"/>
          <w:color w:val="auto"/>
        </w:rPr>
        <w:t>Cet arrêté s’inscrit dans la volonté du gouvernement de simplifier les procédures administratives, sans compromettre la nécessaire protection de l’environnement. Il inscrit donc, dans le code de l’environnement, des arrêtés-types pour des installations relevant de la 2</w:t>
      </w:r>
      <w:r w:rsidRPr="007F1C20">
        <w:rPr>
          <w:rFonts w:ascii="Cambria" w:hAnsi="Cambria"/>
          <w:color w:val="auto"/>
          <w:vertAlign w:val="superscript"/>
        </w:rPr>
        <w:t>ème</w:t>
      </w:r>
      <w:r w:rsidRPr="007F1C20">
        <w:rPr>
          <w:rFonts w:ascii="Cambria" w:hAnsi="Cambria"/>
          <w:color w:val="auto"/>
        </w:rPr>
        <w:t xml:space="preserve"> classe, auxquels tout entrepreneur pourra désormais se référer avant de lancer son projet.</w:t>
      </w:r>
    </w:p>
    <w:p w14:paraId="0F1767C6" w14:textId="77777777" w:rsidR="004A3526" w:rsidRPr="007F1C20" w:rsidRDefault="004A3526" w:rsidP="004A3526">
      <w:pPr>
        <w:pStyle w:val="NormalWeb"/>
        <w:jc w:val="both"/>
        <w:rPr>
          <w:rFonts w:ascii="Cambria" w:hAnsi="Cambria"/>
          <w:color w:val="auto"/>
        </w:rPr>
      </w:pPr>
      <w:r w:rsidRPr="007F1C20">
        <w:rPr>
          <w:rFonts w:ascii="Cambria" w:hAnsi="Cambria"/>
          <w:color w:val="auto"/>
        </w:rPr>
        <w:t>La procédure demeure une autorisation administrative, toutefois, si le dossier est complet et en conformité avec les exigences de l’arrêté-type concerné, la Direction de l’environnement (DIREN) pourra donner un avis administratif et règlementaire plus rapidement.</w:t>
      </w:r>
    </w:p>
    <w:p w14:paraId="0FF4CCE2" w14:textId="77777777" w:rsidR="004A3526" w:rsidRPr="00AA254D" w:rsidRDefault="004A3526" w:rsidP="004A3526">
      <w:pPr>
        <w:pStyle w:val="NormalWeb"/>
        <w:jc w:val="both"/>
        <w:rPr>
          <w:rFonts w:ascii="Cambria" w:hAnsi="Cambria"/>
        </w:rPr>
      </w:pPr>
    </w:p>
    <w:p w14:paraId="3D64A530" w14:textId="77777777" w:rsidR="004A3526" w:rsidRDefault="004A3526" w:rsidP="004A3526">
      <w:pPr>
        <w:pStyle w:val="NormalWeb"/>
        <w:jc w:val="both"/>
        <w:rPr>
          <w:rFonts w:ascii="Cambria" w:hAnsi="Cambria"/>
        </w:rPr>
      </w:pPr>
    </w:p>
    <w:p w14:paraId="5921E6EC" w14:textId="77777777" w:rsidR="004A3526" w:rsidRDefault="004A3526" w:rsidP="004A3526">
      <w:pPr>
        <w:pStyle w:val="NormalWeb"/>
        <w:jc w:val="both"/>
        <w:rPr>
          <w:rFonts w:ascii="Cambria" w:hAnsi="Cambria"/>
          <w:b/>
          <w:bCs/>
        </w:rPr>
      </w:pPr>
      <w:r w:rsidRPr="00403086">
        <w:rPr>
          <w:rFonts w:ascii="Cambria" w:hAnsi="Cambria"/>
          <w:b/>
          <w:bCs/>
        </w:rPr>
        <w:t xml:space="preserve">Prêts de collections nationales et internationales pour la réouverture de la salle permanente du </w:t>
      </w:r>
      <w:proofErr w:type="gramStart"/>
      <w:r w:rsidRPr="00403086">
        <w:rPr>
          <w:rFonts w:ascii="Cambria" w:hAnsi="Cambria"/>
          <w:b/>
          <w:bCs/>
        </w:rPr>
        <w:t>Musée</w:t>
      </w:r>
      <w:proofErr w:type="gramEnd"/>
      <w:r w:rsidRPr="00403086">
        <w:rPr>
          <w:rFonts w:ascii="Cambria" w:hAnsi="Cambria"/>
          <w:b/>
          <w:bCs/>
        </w:rPr>
        <w:t xml:space="preserve"> de Tahiti et des Îles -Te Fare </w:t>
      </w:r>
      <w:proofErr w:type="spellStart"/>
      <w:r w:rsidRPr="00403086">
        <w:rPr>
          <w:rFonts w:ascii="Cambria" w:hAnsi="Cambria"/>
          <w:b/>
          <w:bCs/>
        </w:rPr>
        <w:t>Manaha</w:t>
      </w:r>
      <w:proofErr w:type="spellEnd"/>
      <w:r w:rsidRPr="00403086">
        <w:rPr>
          <w:rFonts w:ascii="Cambria" w:hAnsi="Cambria"/>
          <w:b/>
          <w:bCs/>
        </w:rPr>
        <w:t xml:space="preserve"> </w:t>
      </w:r>
    </w:p>
    <w:p w14:paraId="04A4C654" w14:textId="77777777" w:rsidR="004A3526" w:rsidRDefault="004A3526" w:rsidP="004A3526">
      <w:pPr>
        <w:pStyle w:val="NormalWeb"/>
        <w:jc w:val="both"/>
        <w:rPr>
          <w:rFonts w:ascii="Cambria" w:hAnsi="Cambria"/>
          <w:b/>
          <w:bCs/>
        </w:rPr>
      </w:pPr>
    </w:p>
    <w:p w14:paraId="405928C8" w14:textId="77777777" w:rsidR="004A3526" w:rsidRPr="00403086" w:rsidRDefault="004A3526" w:rsidP="004A3526">
      <w:pPr>
        <w:pStyle w:val="NormalWeb"/>
        <w:jc w:val="both"/>
        <w:rPr>
          <w:rFonts w:ascii="Cambria" w:hAnsi="Cambria"/>
        </w:rPr>
      </w:pPr>
      <w:r w:rsidRPr="00403086">
        <w:rPr>
          <w:rFonts w:ascii="Cambria" w:hAnsi="Cambria"/>
        </w:rPr>
        <w:t xml:space="preserve">Dans le cadre de la réouverture de sa salle d’exposition permanente, le </w:t>
      </w:r>
      <w:proofErr w:type="gramStart"/>
      <w:r w:rsidRPr="00403086">
        <w:rPr>
          <w:rFonts w:ascii="Cambria" w:hAnsi="Cambria"/>
        </w:rPr>
        <w:t>Musée</w:t>
      </w:r>
      <w:proofErr w:type="gramEnd"/>
      <w:r w:rsidRPr="00403086">
        <w:rPr>
          <w:rFonts w:ascii="Cambria" w:hAnsi="Cambria"/>
        </w:rPr>
        <w:t xml:space="preserve"> de Tahiti et des Îles a entrepris des démarches auprès de plusieurs institutions muséales afin de solliciter des prêts de pièces emblématiques </w:t>
      </w:r>
      <w:r>
        <w:rPr>
          <w:rFonts w:ascii="Cambria" w:hAnsi="Cambria"/>
        </w:rPr>
        <w:t>du</w:t>
      </w:r>
      <w:r w:rsidRPr="00403086">
        <w:rPr>
          <w:rFonts w:ascii="Cambria" w:hAnsi="Cambria"/>
        </w:rPr>
        <w:t xml:space="preserve"> patrimoine</w:t>
      </w:r>
      <w:r>
        <w:rPr>
          <w:rFonts w:ascii="Cambria" w:hAnsi="Cambria"/>
        </w:rPr>
        <w:t xml:space="preserve"> polynésien</w:t>
      </w:r>
      <w:r w:rsidRPr="00403086">
        <w:rPr>
          <w:rFonts w:ascii="Cambria" w:hAnsi="Cambria"/>
        </w:rPr>
        <w:t>. Ces prêts</w:t>
      </w:r>
      <w:r>
        <w:rPr>
          <w:rFonts w:ascii="Cambria" w:hAnsi="Cambria"/>
        </w:rPr>
        <w:t>,</w:t>
      </w:r>
      <w:r w:rsidRPr="00403086">
        <w:rPr>
          <w:rFonts w:ascii="Cambria" w:hAnsi="Cambria"/>
        </w:rPr>
        <w:t xml:space="preserve"> pour des périodes allant de 1 an à 3 ans</w:t>
      </w:r>
      <w:r>
        <w:rPr>
          <w:rFonts w:ascii="Cambria" w:hAnsi="Cambria"/>
        </w:rPr>
        <w:t>,</w:t>
      </w:r>
      <w:r w:rsidRPr="00403086">
        <w:rPr>
          <w:rFonts w:ascii="Cambria" w:hAnsi="Cambria"/>
        </w:rPr>
        <w:t xml:space="preserve"> selon les institutions</w:t>
      </w:r>
      <w:r>
        <w:rPr>
          <w:rFonts w:ascii="Cambria" w:hAnsi="Cambria"/>
        </w:rPr>
        <w:t>,</w:t>
      </w:r>
      <w:r w:rsidRPr="00403086">
        <w:rPr>
          <w:rFonts w:ascii="Cambria" w:hAnsi="Cambria"/>
        </w:rPr>
        <w:t xml:space="preserve"> seront prévus en rotation afin de permettre au public polynésien de découvrir régulièrement de nouvelles pièces. </w:t>
      </w:r>
    </w:p>
    <w:p w14:paraId="377E5733" w14:textId="77777777" w:rsidR="004A3526" w:rsidRPr="00403086" w:rsidRDefault="004A3526" w:rsidP="004A3526">
      <w:pPr>
        <w:pStyle w:val="NormalWeb"/>
        <w:jc w:val="both"/>
        <w:rPr>
          <w:rFonts w:ascii="Cambria" w:hAnsi="Cambria"/>
        </w:rPr>
      </w:pPr>
      <w:r w:rsidRPr="00403086">
        <w:rPr>
          <w:rFonts w:ascii="Cambria" w:hAnsi="Cambria"/>
        </w:rPr>
        <w:t xml:space="preserve">Ainsi, la direction du Museum of </w:t>
      </w:r>
      <w:proofErr w:type="spellStart"/>
      <w:r w:rsidRPr="00403086">
        <w:rPr>
          <w:rFonts w:ascii="Cambria" w:hAnsi="Cambria"/>
        </w:rPr>
        <w:t>Archeology</w:t>
      </w:r>
      <w:proofErr w:type="spellEnd"/>
      <w:r w:rsidRPr="00403086">
        <w:rPr>
          <w:rFonts w:ascii="Cambria" w:hAnsi="Cambria"/>
        </w:rPr>
        <w:t xml:space="preserve"> and </w:t>
      </w:r>
      <w:proofErr w:type="spellStart"/>
      <w:r w:rsidRPr="00403086">
        <w:rPr>
          <w:rFonts w:ascii="Cambria" w:hAnsi="Cambria"/>
        </w:rPr>
        <w:t>Anthropology</w:t>
      </w:r>
      <w:proofErr w:type="spellEnd"/>
      <w:r w:rsidRPr="00403086">
        <w:rPr>
          <w:rFonts w:ascii="Cambria" w:hAnsi="Cambria"/>
        </w:rPr>
        <w:t xml:space="preserve"> de Cambridge (MAA) a confirmé le prêt de 6 objets collectés par James Cook lors de son premier voyage ou par Georges Bennet de la London </w:t>
      </w:r>
      <w:proofErr w:type="spellStart"/>
      <w:r w:rsidRPr="00403086">
        <w:rPr>
          <w:rFonts w:ascii="Cambria" w:hAnsi="Cambria"/>
        </w:rPr>
        <w:t>Missionary</w:t>
      </w:r>
      <w:proofErr w:type="spellEnd"/>
      <w:r w:rsidRPr="00403086">
        <w:rPr>
          <w:rFonts w:ascii="Cambria" w:hAnsi="Cambria"/>
        </w:rPr>
        <w:t xml:space="preserve"> Society. Ces pièces sont exceptionnelles </w:t>
      </w:r>
      <w:proofErr w:type="gramStart"/>
      <w:r w:rsidRPr="00403086">
        <w:rPr>
          <w:rFonts w:ascii="Cambria" w:hAnsi="Cambria"/>
        </w:rPr>
        <w:t>de par</w:t>
      </w:r>
      <w:proofErr w:type="gramEnd"/>
      <w:r w:rsidRPr="00403086">
        <w:rPr>
          <w:rFonts w:ascii="Cambria" w:hAnsi="Cambria"/>
        </w:rPr>
        <w:t xml:space="preserve"> leur intérêt historique et leur rareté. </w:t>
      </w:r>
    </w:p>
    <w:p w14:paraId="04E41181" w14:textId="77777777" w:rsidR="004A3526" w:rsidRPr="00403086" w:rsidRDefault="004A3526" w:rsidP="004A3526">
      <w:pPr>
        <w:pStyle w:val="NormalWeb"/>
        <w:jc w:val="both"/>
        <w:rPr>
          <w:rFonts w:ascii="Cambria" w:hAnsi="Cambria"/>
        </w:rPr>
      </w:pPr>
      <w:r w:rsidRPr="00403086">
        <w:rPr>
          <w:rFonts w:ascii="Cambria" w:hAnsi="Cambria"/>
        </w:rPr>
        <w:lastRenderedPageBreak/>
        <w:t xml:space="preserve">Le </w:t>
      </w:r>
      <w:proofErr w:type="gramStart"/>
      <w:r w:rsidRPr="00403086">
        <w:rPr>
          <w:rFonts w:ascii="Cambria" w:hAnsi="Cambria"/>
        </w:rPr>
        <w:t>Musée</w:t>
      </w:r>
      <w:proofErr w:type="gramEnd"/>
      <w:r w:rsidRPr="00403086">
        <w:rPr>
          <w:rFonts w:ascii="Cambria" w:hAnsi="Cambria"/>
        </w:rPr>
        <w:t xml:space="preserve"> du Quai Branly-Jacques Chirac a également confirmé des prêts en rotation annuelle. Outre le fragment du </w:t>
      </w:r>
      <w:proofErr w:type="spellStart"/>
      <w:r w:rsidRPr="00403086">
        <w:rPr>
          <w:rFonts w:ascii="Cambria" w:hAnsi="Cambria"/>
        </w:rPr>
        <w:t>maro’ura</w:t>
      </w:r>
      <w:proofErr w:type="spellEnd"/>
      <w:r w:rsidRPr="00403086">
        <w:rPr>
          <w:rFonts w:ascii="Cambria" w:hAnsi="Cambria"/>
        </w:rPr>
        <w:t xml:space="preserve"> qui serait en dépôt renouvelable tous les 5 ans, un </w:t>
      </w:r>
      <w:proofErr w:type="spellStart"/>
      <w:r w:rsidRPr="00403086">
        <w:rPr>
          <w:rFonts w:ascii="Cambria" w:hAnsi="Cambria"/>
        </w:rPr>
        <w:t>To’o</w:t>
      </w:r>
      <w:proofErr w:type="spellEnd"/>
      <w:r w:rsidRPr="00403086">
        <w:rPr>
          <w:rFonts w:ascii="Cambria" w:hAnsi="Cambria"/>
        </w:rPr>
        <w:t xml:space="preserve"> mata et un </w:t>
      </w:r>
      <w:proofErr w:type="spellStart"/>
      <w:r w:rsidRPr="00403086">
        <w:rPr>
          <w:rFonts w:ascii="Cambria" w:hAnsi="Cambria"/>
        </w:rPr>
        <w:t>Taavaha</w:t>
      </w:r>
      <w:proofErr w:type="spellEnd"/>
      <w:r w:rsidRPr="00403086">
        <w:rPr>
          <w:rFonts w:ascii="Cambria" w:hAnsi="Cambria"/>
        </w:rPr>
        <w:t xml:space="preserve"> des Marquises, ainsi qu’un </w:t>
      </w:r>
      <w:proofErr w:type="spellStart"/>
      <w:r w:rsidRPr="00403086">
        <w:rPr>
          <w:rFonts w:ascii="Cambria" w:hAnsi="Cambria"/>
        </w:rPr>
        <w:t>penu</w:t>
      </w:r>
      <w:proofErr w:type="spellEnd"/>
      <w:r w:rsidRPr="00403086">
        <w:rPr>
          <w:rFonts w:ascii="Cambria" w:hAnsi="Cambria"/>
        </w:rPr>
        <w:t xml:space="preserve"> des îles de la Société seront présents pour l’ouverture de la nouvelle salle. </w:t>
      </w:r>
    </w:p>
    <w:p w14:paraId="3C802A66" w14:textId="77777777" w:rsidR="004A3526" w:rsidRPr="00403086" w:rsidRDefault="004A3526" w:rsidP="004A3526">
      <w:pPr>
        <w:pStyle w:val="NormalWeb"/>
        <w:jc w:val="both"/>
        <w:rPr>
          <w:rFonts w:ascii="Cambria" w:hAnsi="Cambria"/>
        </w:rPr>
      </w:pPr>
      <w:r w:rsidRPr="00403086">
        <w:rPr>
          <w:rFonts w:ascii="Cambria" w:hAnsi="Cambria"/>
        </w:rPr>
        <w:t xml:space="preserve">Enfin, le British Museum a consenti de façon très exceptionnelle à une série de prêts de grandes importances avec un costume de deuilleur, une ceinture de chef de </w:t>
      </w:r>
      <w:proofErr w:type="spellStart"/>
      <w:r w:rsidRPr="00403086">
        <w:rPr>
          <w:rFonts w:ascii="Cambria" w:hAnsi="Cambria"/>
        </w:rPr>
        <w:t>Anaa</w:t>
      </w:r>
      <w:proofErr w:type="spellEnd"/>
      <w:r w:rsidRPr="00403086">
        <w:rPr>
          <w:rFonts w:ascii="Cambria" w:hAnsi="Cambria"/>
        </w:rPr>
        <w:t xml:space="preserve">, un </w:t>
      </w:r>
      <w:proofErr w:type="spellStart"/>
      <w:r w:rsidRPr="00403086">
        <w:rPr>
          <w:rFonts w:ascii="Cambria" w:hAnsi="Cambria"/>
        </w:rPr>
        <w:t>taumi</w:t>
      </w:r>
      <w:proofErr w:type="spellEnd"/>
      <w:r w:rsidRPr="00403086">
        <w:rPr>
          <w:rFonts w:ascii="Cambria" w:hAnsi="Cambria"/>
        </w:rPr>
        <w:t xml:space="preserve"> de la Société, un </w:t>
      </w:r>
      <w:proofErr w:type="spellStart"/>
      <w:r w:rsidRPr="00403086">
        <w:rPr>
          <w:rFonts w:ascii="Cambria" w:hAnsi="Cambria"/>
        </w:rPr>
        <w:t>fare</w:t>
      </w:r>
      <w:proofErr w:type="spellEnd"/>
      <w:r w:rsidRPr="00403086">
        <w:rPr>
          <w:rFonts w:ascii="Cambria" w:hAnsi="Cambria"/>
        </w:rPr>
        <w:t xml:space="preserve"> </w:t>
      </w:r>
      <w:proofErr w:type="spellStart"/>
      <w:r w:rsidRPr="00403086">
        <w:rPr>
          <w:rFonts w:ascii="Cambria" w:hAnsi="Cambria"/>
        </w:rPr>
        <w:t>atua</w:t>
      </w:r>
      <w:proofErr w:type="spellEnd"/>
      <w:r w:rsidRPr="00403086">
        <w:rPr>
          <w:rFonts w:ascii="Cambria" w:hAnsi="Cambria"/>
        </w:rPr>
        <w:t xml:space="preserve"> de la Société, une statue de </w:t>
      </w:r>
      <w:proofErr w:type="spellStart"/>
      <w:r w:rsidRPr="00403086">
        <w:rPr>
          <w:rFonts w:ascii="Cambria" w:hAnsi="Cambria"/>
        </w:rPr>
        <w:t>Rongo</w:t>
      </w:r>
      <w:proofErr w:type="spellEnd"/>
      <w:r w:rsidRPr="00403086">
        <w:rPr>
          <w:rFonts w:ascii="Cambria" w:hAnsi="Cambria"/>
        </w:rPr>
        <w:t xml:space="preserve"> des Gambier et enfin la statue de </w:t>
      </w:r>
      <w:proofErr w:type="spellStart"/>
      <w:r w:rsidRPr="00403086">
        <w:rPr>
          <w:rFonts w:ascii="Cambria" w:hAnsi="Cambria"/>
        </w:rPr>
        <w:t>A’a</w:t>
      </w:r>
      <w:proofErr w:type="spellEnd"/>
      <w:r w:rsidRPr="00403086">
        <w:rPr>
          <w:rFonts w:ascii="Cambria" w:hAnsi="Cambria"/>
        </w:rPr>
        <w:t xml:space="preserve"> de Rurutu. Ces prêts remarquables sont consentis pour 3 ans. </w:t>
      </w:r>
    </w:p>
    <w:p w14:paraId="1BE76F29" w14:textId="77777777" w:rsidR="004A3526" w:rsidRPr="00403086" w:rsidRDefault="004A3526" w:rsidP="004A3526">
      <w:pPr>
        <w:pStyle w:val="NormalWeb"/>
        <w:jc w:val="both"/>
        <w:rPr>
          <w:rFonts w:ascii="Cambria" w:hAnsi="Cambria"/>
        </w:rPr>
      </w:pPr>
      <w:r w:rsidRPr="00403086">
        <w:rPr>
          <w:rFonts w:ascii="Cambria" w:hAnsi="Cambria"/>
        </w:rPr>
        <w:t>Ces prêts sont le résultat de démarches entreprises de longue date pour renouer des relations de confiance avec les établissements muséaux internationaux. Elles impliquent également un alignement sur les standards internationaux en matière de conservation préventive. C’est en cela que des études complémentaires ont été nécessaires afin de garantir un système de sécurité incendie de haute performance.</w:t>
      </w:r>
    </w:p>
    <w:p w14:paraId="18A04526" w14:textId="77777777" w:rsidR="004A3526" w:rsidRDefault="004A3526" w:rsidP="004A3526">
      <w:pPr>
        <w:pStyle w:val="NormalWeb"/>
        <w:jc w:val="both"/>
        <w:rPr>
          <w:rFonts w:ascii="Cambria" w:hAnsi="Cambria"/>
          <w:b/>
          <w:bCs/>
        </w:rPr>
      </w:pPr>
    </w:p>
    <w:p w14:paraId="578980B2" w14:textId="77777777" w:rsidR="004A3526" w:rsidRDefault="004A3526" w:rsidP="004A3526">
      <w:pPr>
        <w:pStyle w:val="NormalWeb"/>
        <w:jc w:val="both"/>
        <w:rPr>
          <w:rFonts w:ascii="Cambria" w:hAnsi="Cambria"/>
          <w:b/>
          <w:bCs/>
        </w:rPr>
      </w:pPr>
      <w:r w:rsidRPr="00403086">
        <w:rPr>
          <w:rFonts w:ascii="Cambria" w:hAnsi="Cambria"/>
          <w:b/>
          <w:bCs/>
        </w:rPr>
        <w:t>Exposition « </w:t>
      </w:r>
      <w:proofErr w:type="spellStart"/>
      <w:r w:rsidRPr="00403086">
        <w:rPr>
          <w:rFonts w:ascii="Cambria" w:hAnsi="Cambria"/>
          <w:b/>
          <w:bCs/>
          <w:i/>
        </w:rPr>
        <w:t>Maro’ura</w:t>
      </w:r>
      <w:proofErr w:type="spellEnd"/>
      <w:r w:rsidRPr="00403086">
        <w:rPr>
          <w:rFonts w:ascii="Cambria" w:hAnsi="Cambria"/>
          <w:b/>
          <w:bCs/>
        </w:rPr>
        <w:t xml:space="preserve"> : un trésor polynésien » du 19 octobre 2021 au 9 janvier 2022 au musée du quai Branly – Jacques Chirac </w:t>
      </w:r>
    </w:p>
    <w:p w14:paraId="511B07DA" w14:textId="77777777" w:rsidR="004A3526" w:rsidRDefault="004A3526" w:rsidP="004A3526">
      <w:pPr>
        <w:pStyle w:val="NormalWeb"/>
        <w:jc w:val="both"/>
        <w:rPr>
          <w:rFonts w:ascii="Cambria" w:hAnsi="Cambria"/>
          <w:b/>
          <w:bCs/>
        </w:rPr>
      </w:pPr>
    </w:p>
    <w:p w14:paraId="15091236" w14:textId="77777777" w:rsidR="004A3526" w:rsidRPr="00403086" w:rsidRDefault="004A3526" w:rsidP="004A3526">
      <w:pPr>
        <w:pStyle w:val="NormalWeb"/>
        <w:jc w:val="both"/>
        <w:rPr>
          <w:rFonts w:ascii="Cambria" w:hAnsi="Cambria"/>
        </w:rPr>
      </w:pPr>
      <w:r w:rsidRPr="00403086">
        <w:rPr>
          <w:rFonts w:ascii="Cambria" w:hAnsi="Cambria"/>
        </w:rPr>
        <w:t xml:space="preserve">Le musée du quai Branly – Jacques Chirac et le Musée de Tahiti et des Îles – Te Fare </w:t>
      </w:r>
      <w:proofErr w:type="spellStart"/>
      <w:r w:rsidRPr="00403086">
        <w:rPr>
          <w:rFonts w:ascii="Cambria" w:hAnsi="Cambria"/>
        </w:rPr>
        <w:t>Manaha</w:t>
      </w:r>
      <w:proofErr w:type="spellEnd"/>
      <w:r w:rsidRPr="00403086">
        <w:rPr>
          <w:rFonts w:ascii="Cambria" w:hAnsi="Cambria"/>
        </w:rPr>
        <w:t xml:space="preserve"> présenteront en </w:t>
      </w:r>
      <w:proofErr w:type="spellStart"/>
      <w:r w:rsidRPr="00403086">
        <w:rPr>
          <w:rFonts w:ascii="Cambria" w:hAnsi="Cambria"/>
        </w:rPr>
        <w:t>co</w:t>
      </w:r>
      <w:proofErr w:type="spellEnd"/>
      <w:r w:rsidRPr="00403086">
        <w:rPr>
          <w:rFonts w:ascii="Cambria" w:hAnsi="Cambria"/>
        </w:rPr>
        <w:t xml:space="preserve">-commissariat une exposition dénommée « </w:t>
      </w:r>
      <w:proofErr w:type="spellStart"/>
      <w:r w:rsidRPr="00403086">
        <w:rPr>
          <w:rFonts w:ascii="Cambria" w:hAnsi="Cambria"/>
        </w:rPr>
        <w:t>Maro</w:t>
      </w:r>
      <w:proofErr w:type="spellEnd"/>
      <w:r w:rsidRPr="00403086">
        <w:rPr>
          <w:rFonts w:ascii="Cambria" w:hAnsi="Cambria"/>
        </w:rPr>
        <w:t xml:space="preserve"> ‘</w:t>
      </w:r>
      <w:proofErr w:type="spellStart"/>
      <w:r w:rsidRPr="00403086">
        <w:rPr>
          <w:rFonts w:ascii="Cambria" w:hAnsi="Cambria"/>
        </w:rPr>
        <w:t>ura</w:t>
      </w:r>
      <w:proofErr w:type="spellEnd"/>
      <w:r w:rsidRPr="00403086">
        <w:rPr>
          <w:rFonts w:ascii="Cambria" w:hAnsi="Cambria"/>
        </w:rPr>
        <w:t xml:space="preserve"> : un trésor polynésien » du 19 octobre 2021 au 9 janvier 2022. </w:t>
      </w:r>
    </w:p>
    <w:p w14:paraId="180C5732" w14:textId="77777777" w:rsidR="004A3526" w:rsidRPr="00403086" w:rsidRDefault="004A3526" w:rsidP="004A3526">
      <w:pPr>
        <w:pStyle w:val="NormalWeb"/>
        <w:jc w:val="both"/>
        <w:rPr>
          <w:rFonts w:ascii="Cambria" w:hAnsi="Cambria"/>
        </w:rPr>
      </w:pPr>
      <w:proofErr w:type="gramStart"/>
      <w:r w:rsidRPr="00403086">
        <w:rPr>
          <w:rFonts w:ascii="Cambria" w:hAnsi="Cambria"/>
        </w:rPr>
        <w:t>Suite à</w:t>
      </w:r>
      <w:proofErr w:type="gramEnd"/>
      <w:r w:rsidRPr="00403086">
        <w:rPr>
          <w:rFonts w:ascii="Cambria" w:hAnsi="Cambria"/>
        </w:rPr>
        <w:t xml:space="preserve"> l’identification en 2016 par l’anthropologue Guillaume </w:t>
      </w:r>
      <w:proofErr w:type="spellStart"/>
      <w:r w:rsidRPr="00403086">
        <w:rPr>
          <w:rFonts w:ascii="Cambria" w:hAnsi="Cambria"/>
        </w:rPr>
        <w:t>Alévêque</w:t>
      </w:r>
      <w:proofErr w:type="spellEnd"/>
      <w:r w:rsidRPr="00403086">
        <w:rPr>
          <w:rFonts w:ascii="Cambria" w:hAnsi="Cambria"/>
        </w:rPr>
        <w:t xml:space="preserve"> de ce fragment de </w:t>
      </w:r>
      <w:proofErr w:type="spellStart"/>
      <w:r w:rsidRPr="00403086">
        <w:rPr>
          <w:rFonts w:ascii="Cambria" w:hAnsi="Cambria"/>
        </w:rPr>
        <w:t>maro</w:t>
      </w:r>
      <w:proofErr w:type="spellEnd"/>
      <w:r w:rsidRPr="00403086">
        <w:rPr>
          <w:rFonts w:ascii="Cambria" w:hAnsi="Cambria"/>
        </w:rPr>
        <w:t xml:space="preserve"> ‘</w:t>
      </w:r>
      <w:proofErr w:type="spellStart"/>
      <w:r w:rsidRPr="00403086">
        <w:rPr>
          <w:rFonts w:ascii="Cambria" w:hAnsi="Cambria"/>
        </w:rPr>
        <w:t>ura</w:t>
      </w:r>
      <w:proofErr w:type="spellEnd"/>
      <w:r w:rsidRPr="00403086">
        <w:rPr>
          <w:rFonts w:ascii="Cambria" w:hAnsi="Cambria"/>
        </w:rPr>
        <w:t xml:space="preserve">, le musée du quai Branly – Jacques Chirac a acté le dépôt de cette pièce au Musée de Tahiti et des Îles, à la réouverture de la salle d’exposition permanente en 2022. Ce dépôt a ainsi fait l’objet d’une signature entre la Polynésie française et le musée du </w:t>
      </w:r>
      <w:proofErr w:type="gramStart"/>
      <w:r w:rsidRPr="00403086">
        <w:rPr>
          <w:rFonts w:ascii="Cambria" w:hAnsi="Cambria"/>
        </w:rPr>
        <w:t>quai</w:t>
      </w:r>
      <w:proofErr w:type="gramEnd"/>
      <w:r w:rsidRPr="00403086">
        <w:rPr>
          <w:rFonts w:ascii="Cambria" w:hAnsi="Cambria"/>
        </w:rPr>
        <w:t xml:space="preserve"> Branly – Jacques Chirac le 23 septembre 2019 et s’inscrit dans le cadre d’une convention de coopération muséographique et culturelle ratifiée le 17 octobre 2016. </w:t>
      </w:r>
    </w:p>
    <w:p w14:paraId="2C79C7C5" w14:textId="77777777" w:rsidR="004A3526" w:rsidRPr="00403086" w:rsidRDefault="004A3526" w:rsidP="004A3526">
      <w:pPr>
        <w:pStyle w:val="NormalWeb"/>
        <w:jc w:val="both"/>
        <w:rPr>
          <w:rFonts w:ascii="Cambria" w:hAnsi="Cambria"/>
        </w:rPr>
      </w:pPr>
      <w:r w:rsidRPr="00403086">
        <w:rPr>
          <w:rFonts w:ascii="Cambria" w:hAnsi="Cambria"/>
        </w:rPr>
        <w:t xml:space="preserve">Aussi cette exposition propose de faire comprendre au public parisien l’importance de cette pièce emblématique avant son dépôt au </w:t>
      </w:r>
      <w:proofErr w:type="gramStart"/>
      <w:r w:rsidRPr="00403086">
        <w:rPr>
          <w:rFonts w:ascii="Cambria" w:hAnsi="Cambria"/>
        </w:rPr>
        <w:t>Musée</w:t>
      </w:r>
      <w:proofErr w:type="gramEnd"/>
      <w:r w:rsidRPr="00403086">
        <w:rPr>
          <w:rFonts w:ascii="Cambria" w:hAnsi="Cambria"/>
        </w:rPr>
        <w:t xml:space="preserve"> de Tahiti et des Îles. Le parcours de l’exposition suivra en parallèle deux axes narratifs : l’histoire de l’objet et celle de l’enquête qui a permis son identification. </w:t>
      </w:r>
    </w:p>
    <w:p w14:paraId="56F1A9A8" w14:textId="77777777" w:rsidR="004A3526" w:rsidRPr="00403086" w:rsidRDefault="004A3526" w:rsidP="004A3526">
      <w:pPr>
        <w:pStyle w:val="NormalWeb"/>
        <w:jc w:val="both"/>
        <w:rPr>
          <w:rFonts w:ascii="Cambria" w:hAnsi="Cambria"/>
        </w:rPr>
      </w:pPr>
      <w:r w:rsidRPr="00403086">
        <w:rPr>
          <w:rFonts w:ascii="Cambria" w:hAnsi="Cambria"/>
        </w:rPr>
        <w:t xml:space="preserve">L’exposition, conçue en partenariat avec le </w:t>
      </w:r>
      <w:proofErr w:type="gramStart"/>
      <w:r w:rsidRPr="00403086">
        <w:rPr>
          <w:rFonts w:ascii="Cambria" w:hAnsi="Cambria"/>
        </w:rPr>
        <w:t>Musée</w:t>
      </w:r>
      <w:proofErr w:type="gramEnd"/>
      <w:r w:rsidRPr="00403086">
        <w:rPr>
          <w:rFonts w:ascii="Cambria" w:hAnsi="Cambria"/>
        </w:rPr>
        <w:t xml:space="preserve"> de Tahiti et des Îles – Te Fare </w:t>
      </w:r>
      <w:proofErr w:type="spellStart"/>
      <w:r w:rsidRPr="00403086">
        <w:rPr>
          <w:rFonts w:ascii="Cambria" w:hAnsi="Cambria"/>
        </w:rPr>
        <w:t>Manaha</w:t>
      </w:r>
      <w:proofErr w:type="spellEnd"/>
      <w:r w:rsidRPr="00403086">
        <w:rPr>
          <w:rFonts w:ascii="Cambria" w:hAnsi="Cambria"/>
        </w:rPr>
        <w:t xml:space="preserve">, a pour ambition de mettre en lumière l’histoire de cette œuvre unique, en particulier son importance religieuse et politique, tout en révélant le faisceau d’indices matériels et historiques qui ont permis son identification par des spécialistes. Outre le fragment du </w:t>
      </w:r>
      <w:proofErr w:type="spellStart"/>
      <w:r w:rsidRPr="00403086">
        <w:rPr>
          <w:rFonts w:ascii="Cambria" w:hAnsi="Cambria"/>
        </w:rPr>
        <w:t>maro’ura</w:t>
      </w:r>
      <w:proofErr w:type="spellEnd"/>
      <w:r w:rsidRPr="00403086">
        <w:rPr>
          <w:rFonts w:ascii="Cambria" w:hAnsi="Cambria"/>
        </w:rPr>
        <w:t xml:space="preserve">, cette exposition présentera également des pièces liées au sacré tels que des </w:t>
      </w:r>
      <w:proofErr w:type="spellStart"/>
      <w:r w:rsidRPr="00403086">
        <w:rPr>
          <w:rFonts w:ascii="Cambria" w:hAnsi="Cambria"/>
        </w:rPr>
        <w:t>to’o</w:t>
      </w:r>
      <w:proofErr w:type="spellEnd"/>
      <w:r w:rsidRPr="00403086">
        <w:rPr>
          <w:rFonts w:ascii="Cambria" w:hAnsi="Cambria"/>
        </w:rPr>
        <w:t xml:space="preserve">, des ornements en plumes, mais aussi des pièces contemporaines issues des collections du </w:t>
      </w:r>
      <w:proofErr w:type="gramStart"/>
      <w:r w:rsidRPr="00403086">
        <w:rPr>
          <w:rFonts w:ascii="Cambria" w:hAnsi="Cambria"/>
        </w:rPr>
        <w:t>Musée</w:t>
      </w:r>
      <w:proofErr w:type="gramEnd"/>
      <w:r w:rsidRPr="00403086">
        <w:rPr>
          <w:rFonts w:ascii="Cambria" w:hAnsi="Cambria"/>
        </w:rPr>
        <w:t xml:space="preserve"> de Tahiti et des Îles. </w:t>
      </w:r>
      <w:r>
        <w:rPr>
          <w:rFonts w:ascii="Cambria" w:hAnsi="Cambria"/>
        </w:rPr>
        <w:t>Il est à</w:t>
      </w:r>
      <w:r w:rsidRPr="00403086">
        <w:rPr>
          <w:rFonts w:ascii="Cambria" w:hAnsi="Cambria"/>
        </w:rPr>
        <w:t xml:space="preserve"> noter également</w:t>
      </w:r>
      <w:r>
        <w:rPr>
          <w:rFonts w:ascii="Cambria" w:hAnsi="Cambria"/>
        </w:rPr>
        <w:t xml:space="preserve"> que</w:t>
      </w:r>
      <w:r w:rsidRPr="00403086">
        <w:rPr>
          <w:rFonts w:ascii="Cambria" w:hAnsi="Cambria"/>
        </w:rPr>
        <w:t xml:space="preserve">, pour la première fois au musée du </w:t>
      </w:r>
      <w:proofErr w:type="gramStart"/>
      <w:r w:rsidRPr="00403086">
        <w:rPr>
          <w:rFonts w:ascii="Cambria" w:hAnsi="Cambria"/>
        </w:rPr>
        <w:t>quai</w:t>
      </w:r>
      <w:proofErr w:type="gramEnd"/>
      <w:r w:rsidRPr="00403086">
        <w:rPr>
          <w:rFonts w:ascii="Cambria" w:hAnsi="Cambria"/>
        </w:rPr>
        <w:t xml:space="preserve"> Branly – Jacques Chirac, les textes de présentation de l’exposition seront traduits en </w:t>
      </w:r>
      <w:proofErr w:type="spellStart"/>
      <w:r w:rsidRPr="00403086">
        <w:rPr>
          <w:rFonts w:ascii="Cambria" w:hAnsi="Cambria"/>
        </w:rPr>
        <w:t>reo</w:t>
      </w:r>
      <w:proofErr w:type="spellEnd"/>
      <w:r w:rsidRPr="00403086">
        <w:rPr>
          <w:rFonts w:ascii="Cambria" w:hAnsi="Cambria"/>
        </w:rPr>
        <w:t xml:space="preserve"> </w:t>
      </w:r>
      <w:proofErr w:type="spellStart"/>
      <w:r w:rsidRPr="00403086">
        <w:rPr>
          <w:rFonts w:ascii="Cambria" w:hAnsi="Cambria"/>
        </w:rPr>
        <w:t>tahiti</w:t>
      </w:r>
      <w:proofErr w:type="spellEnd"/>
      <w:r w:rsidRPr="00403086">
        <w:rPr>
          <w:rFonts w:ascii="Cambria" w:hAnsi="Cambria"/>
        </w:rPr>
        <w:t xml:space="preserve">. </w:t>
      </w:r>
    </w:p>
    <w:p w14:paraId="135FBB81" w14:textId="55E7DBEA" w:rsidR="004A3526" w:rsidRPr="00D21531" w:rsidRDefault="004A3526" w:rsidP="00D21531">
      <w:pPr>
        <w:pStyle w:val="NormalWeb"/>
        <w:jc w:val="both"/>
        <w:rPr>
          <w:rFonts w:ascii="Cambria" w:hAnsi="Cambria"/>
        </w:rPr>
      </w:pPr>
      <w:r w:rsidRPr="00403086">
        <w:rPr>
          <w:rFonts w:ascii="Cambria" w:hAnsi="Cambria"/>
        </w:rPr>
        <w:t xml:space="preserve">Afin de marquer l’ouverture de l’exposition, des manifestations sont programmées les 18 et 19 octobre 2021, visant notamment à mettre en avant le partenariat entre les deux établissements muséaux, et notamment les prêts qui ont été consentis par le musée du </w:t>
      </w:r>
      <w:proofErr w:type="gramStart"/>
      <w:r w:rsidRPr="00403086">
        <w:rPr>
          <w:rFonts w:ascii="Cambria" w:hAnsi="Cambria"/>
        </w:rPr>
        <w:t>quai</w:t>
      </w:r>
      <w:proofErr w:type="gramEnd"/>
      <w:r w:rsidRPr="00403086">
        <w:rPr>
          <w:rFonts w:ascii="Cambria" w:hAnsi="Cambria"/>
        </w:rPr>
        <w:t xml:space="preserve"> Branly – Jacques Chirac pour la réouverture du Musée de Tahiti et des </w:t>
      </w:r>
      <w:r>
        <w:rPr>
          <w:rFonts w:ascii="Cambria" w:hAnsi="Cambria"/>
        </w:rPr>
        <w:t>î</w:t>
      </w:r>
      <w:r w:rsidRPr="00403086">
        <w:rPr>
          <w:rFonts w:ascii="Cambria" w:hAnsi="Cambria"/>
        </w:rPr>
        <w:t>les.</w:t>
      </w:r>
    </w:p>
    <w:bookmarkEnd w:id="1"/>
    <w:p w14:paraId="1D19AADC" w14:textId="77777777" w:rsidR="004A3526" w:rsidRDefault="004A3526" w:rsidP="005D5D56">
      <w:pPr>
        <w:pStyle w:val="NormalWeb"/>
        <w:jc w:val="both"/>
        <w:rPr>
          <w:rFonts w:ascii="Cambria" w:hAnsi="Cambria"/>
          <w:b/>
          <w:bCs/>
        </w:rPr>
      </w:pPr>
    </w:p>
    <w:p w14:paraId="14F05863" w14:textId="3AEC7A39" w:rsidR="005D5D56" w:rsidRDefault="005D5D56" w:rsidP="005D5D56">
      <w:pPr>
        <w:pStyle w:val="NormalWeb"/>
        <w:jc w:val="both"/>
        <w:rPr>
          <w:rFonts w:ascii="Cambria" w:hAnsi="Cambria"/>
          <w:b/>
          <w:bCs/>
        </w:rPr>
      </w:pPr>
      <w:r w:rsidRPr="005D5D56">
        <w:rPr>
          <w:rFonts w:ascii="Cambria" w:hAnsi="Cambria"/>
          <w:b/>
          <w:bCs/>
        </w:rPr>
        <w:lastRenderedPageBreak/>
        <w:t xml:space="preserve">Projet de loi du Pays relatif à l’enseignement des langues et la culture polynésiennes </w:t>
      </w:r>
    </w:p>
    <w:p w14:paraId="3DE54DAA" w14:textId="77777777" w:rsidR="005D5D56" w:rsidRPr="005D5D56" w:rsidRDefault="005D5D56" w:rsidP="005D5D56">
      <w:pPr>
        <w:pStyle w:val="NormalWeb"/>
        <w:jc w:val="both"/>
        <w:rPr>
          <w:rFonts w:ascii="Cambria" w:hAnsi="Cambria"/>
          <w:b/>
          <w:bCs/>
        </w:rPr>
      </w:pPr>
    </w:p>
    <w:p w14:paraId="042958D4" w14:textId="2FE31BE3" w:rsidR="00DF3262" w:rsidRPr="00DF3262" w:rsidRDefault="00DF3262" w:rsidP="00DF3262">
      <w:pPr>
        <w:pStyle w:val="NormalWeb"/>
        <w:jc w:val="both"/>
        <w:rPr>
          <w:rFonts w:ascii="Cambria" w:hAnsi="Cambria"/>
        </w:rPr>
      </w:pPr>
      <w:r w:rsidRPr="00DF3262">
        <w:rPr>
          <w:rFonts w:ascii="Cambria" w:hAnsi="Cambria"/>
        </w:rPr>
        <w:t>Le Conseil des ministres a examiné un projet de loi du Pays relatif à l’enseignement des langues et la culture polynésiennes concernant les écoles publiques et privées sous contrat avec l'Etat, les centres de jeunes adolescents et les établissements publics et privés sous contrat avec l'Etat du second degré de la Polynésie française.</w:t>
      </w:r>
    </w:p>
    <w:p w14:paraId="5E5046B9" w14:textId="666FAF06" w:rsidR="00DF3262" w:rsidRDefault="005D5D56" w:rsidP="005D5D56">
      <w:pPr>
        <w:pStyle w:val="NormalWeb"/>
        <w:jc w:val="both"/>
        <w:rPr>
          <w:rFonts w:ascii="Cambria" w:hAnsi="Cambria"/>
        </w:rPr>
      </w:pPr>
      <w:r w:rsidRPr="005D5D56">
        <w:rPr>
          <w:rFonts w:ascii="Cambria" w:hAnsi="Cambria"/>
        </w:rPr>
        <w:t>Au niveau national, la loi d’orientation du 8 juillet 2013, à travers les principaux changements et évolutions qu’elle comporte, donne une nouvelle impulsion à l'enseignement des langues et cultures régionales.</w:t>
      </w:r>
      <w:r w:rsidR="00DF3262">
        <w:rPr>
          <w:rFonts w:ascii="Cambria" w:hAnsi="Cambria"/>
        </w:rPr>
        <w:t xml:space="preserve"> </w:t>
      </w:r>
    </w:p>
    <w:p w14:paraId="2F359CB7" w14:textId="32D98857" w:rsidR="005D5D56" w:rsidRPr="005D5D56" w:rsidRDefault="005D5D56" w:rsidP="005D5D56">
      <w:pPr>
        <w:pStyle w:val="NormalWeb"/>
        <w:jc w:val="both"/>
        <w:rPr>
          <w:rFonts w:ascii="Cambria" w:hAnsi="Cambria"/>
        </w:rPr>
      </w:pPr>
      <w:r w:rsidRPr="005D5D56">
        <w:rPr>
          <w:rFonts w:ascii="Cambria" w:hAnsi="Cambria"/>
        </w:rPr>
        <w:t>Sur le plan local, l’article 57 du statut de la Polynésie française dispose que : « </w:t>
      </w:r>
      <w:r w:rsidRPr="005D5D56">
        <w:rPr>
          <w:rFonts w:ascii="Cambria" w:hAnsi="Cambria"/>
          <w:i/>
          <w:iCs/>
        </w:rPr>
        <w:t>La langue tahitienne est un élément fondamental de l’identité culturelle : ciment de la cohésion sociale, moyen de communication quotidien, elle est reconnue et doit être préservée, de même que les autres langues polynésiennes, aux côtés de la langue de la République, afin de garantir la diversité culturelle qui fait la richesse de la Polynésie française</w:t>
      </w:r>
      <w:r w:rsidRPr="005D5D56">
        <w:rPr>
          <w:rFonts w:ascii="Cambria" w:hAnsi="Cambria"/>
        </w:rPr>
        <w:t> ».</w:t>
      </w:r>
    </w:p>
    <w:p w14:paraId="59DBB1BF" w14:textId="08D8C969" w:rsidR="005D5D56" w:rsidRDefault="00E26290" w:rsidP="005D5D56">
      <w:pPr>
        <w:pStyle w:val="NormalWeb"/>
        <w:jc w:val="both"/>
        <w:rPr>
          <w:rFonts w:ascii="Cambria" w:hAnsi="Cambria"/>
        </w:rPr>
      </w:pPr>
      <w:r>
        <w:rPr>
          <w:rFonts w:ascii="Cambria" w:hAnsi="Cambria"/>
        </w:rPr>
        <w:t>La</w:t>
      </w:r>
      <w:r w:rsidR="005D5D56" w:rsidRPr="005D5D56">
        <w:rPr>
          <w:rFonts w:ascii="Cambria" w:hAnsi="Cambria"/>
        </w:rPr>
        <w:t xml:space="preserve"> loi du Pays du 13 juillet 2017 relative à la charte de l’éducation de la Polynésie française dispose que dans le cadre de la valorisation des langues en faveur du plurilinguisme : « </w:t>
      </w:r>
      <w:r w:rsidR="005D5D56" w:rsidRPr="005D5D56">
        <w:rPr>
          <w:rFonts w:ascii="Cambria" w:hAnsi="Cambria"/>
          <w:i/>
          <w:iCs/>
        </w:rPr>
        <w:t>L’Ecole met en place une stratégie adaptée à une éducation plurilingue. Les langues d’origine des élèves sont valorisées. […] Tout au long de leur scolarité, l’enseignement d’une langue polynésienne est proposé dans un cadre défini en conseil des ministres.</w:t>
      </w:r>
      <w:r w:rsidR="005D5D56" w:rsidRPr="005D5D56">
        <w:rPr>
          <w:rFonts w:ascii="Cambria" w:hAnsi="Cambria"/>
        </w:rPr>
        <w:t> »</w:t>
      </w:r>
    </w:p>
    <w:p w14:paraId="72388EDB" w14:textId="18098BA8" w:rsidR="005D5D56" w:rsidRPr="005D5D56" w:rsidRDefault="00E26290" w:rsidP="005D5D56">
      <w:pPr>
        <w:pStyle w:val="NormalWeb"/>
        <w:jc w:val="both"/>
        <w:rPr>
          <w:rFonts w:ascii="Cambria" w:hAnsi="Cambria"/>
        </w:rPr>
      </w:pPr>
      <w:r>
        <w:rPr>
          <w:rFonts w:ascii="Cambria" w:hAnsi="Cambria"/>
        </w:rPr>
        <w:t>Dans ce cadre, t</w:t>
      </w:r>
      <w:r w:rsidR="005D5D56" w:rsidRPr="005D5D56">
        <w:rPr>
          <w:rFonts w:ascii="Cambria" w:hAnsi="Cambria"/>
        </w:rPr>
        <w:t xml:space="preserve">rois expérimentations scientifiques relatives à l’enseignement des langues polynésiennes ont été mises en œuvre dans certaines écoles de Polynésie française : </w:t>
      </w:r>
    </w:p>
    <w:p w14:paraId="282C7FEF" w14:textId="1B1A220A" w:rsidR="005D5D56" w:rsidRPr="005D5D56" w:rsidRDefault="005D5D56" w:rsidP="005D5D56">
      <w:pPr>
        <w:pStyle w:val="NormalWeb"/>
        <w:numPr>
          <w:ilvl w:val="0"/>
          <w:numId w:val="33"/>
        </w:numPr>
        <w:jc w:val="both"/>
        <w:rPr>
          <w:rFonts w:ascii="Cambria" w:hAnsi="Cambria"/>
        </w:rPr>
      </w:pPr>
      <w:r w:rsidRPr="005D5D56">
        <w:rPr>
          <w:rFonts w:ascii="Cambria" w:hAnsi="Cambria"/>
        </w:rPr>
        <w:t>« </w:t>
      </w:r>
      <w:r w:rsidRPr="005D5D56">
        <w:rPr>
          <w:rFonts w:ascii="Cambria" w:hAnsi="Cambria"/>
          <w:i/>
          <w:iCs/>
        </w:rPr>
        <w:t>Enseignement des langues et de la culture polynésiennes à l’école primaire de la Polynésie française</w:t>
      </w:r>
      <w:r w:rsidRPr="005D5D56">
        <w:rPr>
          <w:rFonts w:ascii="Cambria" w:hAnsi="Cambria"/>
        </w:rPr>
        <w:t xml:space="preserve"> ». Menée de 2005 à 2008 et financée par le </w:t>
      </w:r>
      <w:r w:rsidR="00E26290">
        <w:rPr>
          <w:rFonts w:ascii="Cambria" w:hAnsi="Cambria"/>
        </w:rPr>
        <w:t>m</w:t>
      </w:r>
      <w:r w:rsidRPr="005D5D56">
        <w:rPr>
          <w:rFonts w:ascii="Cambria" w:hAnsi="Cambria"/>
        </w:rPr>
        <w:t>inistère de l’</w:t>
      </w:r>
      <w:r w:rsidR="00E26290">
        <w:rPr>
          <w:rFonts w:ascii="Cambria" w:hAnsi="Cambria"/>
        </w:rPr>
        <w:t>E</w:t>
      </w:r>
      <w:r w:rsidRPr="005D5D56">
        <w:rPr>
          <w:rFonts w:ascii="Cambria" w:hAnsi="Cambria"/>
        </w:rPr>
        <w:t xml:space="preserve">ducation, cette expérimentation visait le renforcement de la place des langues (tahitien, marquisien, </w:t>
      </w:r>
      <w:proofErr w:type="spellStart"/>
      <w:r w:rsidRPr="005D5D56">
        <w:rPr>
          <w:rFonts w:ascii="Cambria" w:hAnsi="Cambria"/>
        </w:rPr>
        <w:t>pa’umotu</w:t>
      </w:r>
      <w:proofErr w:type="spellEnd"/>
      <w:r w:rsidRPr="005D5D56">
        <w:rPr>
          <w:rFonts w:ascii="Cambria" w:hAnsi="Cambria"/>
        </w:rPr>
        <w:t xml:space="preserve">, </w:t>
      </w:r>
      <w:proofErr w:type="spellStart"/>
      <w:r w:rsidRPr="005D5D56">
        <w:rPr>
          <w:rFonts w:ascii="Cambria" w:hAnsi="Cambria"/>
        </w:rPr>
        <w:t>ra’ivavae</w:t>
      </w:r>
      <w:proofErr w:type="spellEnd"/>
      <w:r w:rsidRPr="005D5D56">
        <w:rPr>
          <w:rFonts w:ascii="Cambria" w:hAnsi="Cambria"/>
        </w:rPr>
        <w:t xml:space="preserve">, </w:t>
      </w:r>
      <w:proofErr w:type="spellStart"/>
      <w:r w:rsidRPr="005D5D56">
        <w:rPr>
          <w:rFonts w:ascii="Cambria" w:hAnsi="Cambria"/>
        </w:rPr>
        <w:t>tupua’i</w:t>
      </w:r>
      <w:proofErr w:type="spellEnd"/>
      <w:r w:rsidRPr="005D5D56">
        <w:rPr>
          <w:rFonts w:ascii="Cambria" w:hAnsi="Cambria"/>
        </w:rPr>
        <w:t xml:space="preserve">, mangarevien) et de la culture polynésienne à l’école. Ainsi, 5 heures d’enseignement des langues polynésiennes hebdomadaires (au lieu des 2 heures 40 habituelles) ont été mises en place de la SM au CE1 dans 22 écoles de notre </w:t>
      </w:r>
      <w:r w:rsidRPr="005D5D56">
        <w:rPr>
          <w:rFonts w:ascii="Cambria" w:hAnsi="Cambria"/>
          <w:i/>
          <w:iCs/>
        </w:rPr>
        <w:t>fenua</w:t>
      </w:r>
      <w:r w:rsidRPr="005D5D56">
        <w:rPr>
          <w:rFonts w:ascii="Cambria" w:hAnsi="Cambria"/>
        </w:rPr>
        <w:t xml:space="preserve">. 1500 élèves ont été concernés. </w:t>
      </w:r>
    </w:p>
    <w:p w14:paraId="55AD2B50" w14:textId="53E01355" w:rsidR="005D5D56" w:rsidRPr="00DF3262" w:rsidRDefault="005D5D56" w:rsidP="005D5D56">
      <w:pPr>
        <w:pStyle w:val="NormalWeb"/>
        <w:numPr>
          <w:ilvl w:val="0"/>
          <w:numId w:val="33"/>
        </w:numPr>
        <w:jc w:val="both"/>
        <w:rPr>
          <w:rFonts w:ascii="Cambria" w:hAnsi="Cambria"/>
        </w:rPr>
      </w:pPr>
      <w:r w:rsidRPr="005D5D56">
        <w:rPr>
          <w:rFonts w:ascii="Cambria" w:hAnsi="Cambria"/>
        </w:rPr>
        <w:t>« </w:t>
      </w:r>
      <w:r w:rsidRPr="005D5D56">
        <w:rPr>
          <w:rFonts w:ascii="Cambria" w:hAnsi="Cambria"/>
          <w:i/>
          <w:iCs/>
        </w:rPr>
        <w:t>Ecole plurilingue en Outre-Mer</w:t>
      </w:r>
      <w:r w:rsidRPr="005D5D56">
        <w:rPr>
          <w:rFonts w:ascii="Cambria" w:hAnsi="Cambria"/>
        </w:rPr>
        <w:t> » ou « ECOLPOM », réalisée simultanément en Polynésie française, en Nouvelle-Calédonie et en Guyane entre 2009 et 2012. L’attention a porté plus particulièrement sur </w:t>
      </w:r>
      <w:r w:rsidRPr="00DF3262">
        <w:rPr>
          <w:rFonts w:ascii="Cambria" w:hAnsi="Cambria"/>
        </w:rPr>
        <w:t>l’apprentissage de la lecture/écriture dans deux langues simultanément</w:t>
      </w:r>
      <w:r w:rsidR="00DF3262">
        <w:rPr>
          <w:rFonts w:ascii="Cambria" w:hAnsi="Cambria"/>
        </w:rPr>
        <w:t xml:space="preserve">, sur </w:t>
      </w:r>
      <w:r w:rsidRPr="00DF3262">
        <w:rPr>
          <w:rFonts w:ascii="Cambria" w:hAnsi="Cambria"/>
        </w:rPr>
        <w:t>le renforcement de la maîtrise du français écrit et des mathématiques </w:t>
      </w:r>
      <w:r w:rsidR="00DF3262">
        <w:rPr>
          <w:rFonts w:ascii="Cambria" w:hAnsi="Cambria"/>
        </w:rPr>
        <w:t xml:space="preserve">et sur </w:t>
      </w:r>
      <w:r w:rsidRPr="00DF3262">
        <w:rPr>
          <w:rFonts w:ascii="Cambria" w:hAnsi="Cambria"/>
        </w:rPr>
        <w:t xml:space="preserve">l’exploration de la dimension conative (concept de soi en langues). Les élèves de 13 écoles primaires de Tahiti et Moorea, ont </w:t>
      </w:r>
      <w:r w:rsidR="00DF3262">
        <w:rPr>
          <w:rFonts w:ascii="Cambria" w:hAnsi="Cambria"/>
        </w:rPr>
        <w:t xml:space="preserve">ainsi </w:t>
      </w:r>
      <w:r w:rsidRPr="00DF3262">
        <w:rPr>
          <w:rFonts w:ascii="Cambria" w:hAnsi="Cambria"/>
        </w:rPr>
        <w:t>bénéficié de 5 heures hebdomadaires d’enseignement du tahitien.</w:t>
      </w:r>
    </w:p>
    <w:p w14:paraId="0E23D6BE" w14:textId="0FD39FF8" w:rsidR="005D5D56" w:rsidRPr="00DF3262" w:rsidRDefault="005D5D56" w:rsidP="005D5D56">
      <w:pPr>
        <w:pStyle w:val="NormalWeb"/>
        <w:numPr>
          <w:ilvl w:val="0"/>
          <w:numId w:val="35"/>
        </w:numPr>
        <w:jc w:val="both"/>
        <w:rPr>
          <w:rFonts w:ascii="Cambria" w:hAnsi="Cambria"/>
        </w:rPr>
      </w:pPr>
      <w:r w:rsidRPr="005D5D56">
        <w:rPr>
          <w:rFonts w:ascii="Cambria" w:hAnsi="Cambria"/>
        </w:rPr>
        <w:t xml:space="preserve">Programme intitulé « enseignement renforcé du </w:t>
      </w:r>
      <w:proofErr w:type="spellStart"/>
      <w:r w:rsidRPr="005D5D56">
        <w:rPr>
          <w:rFonts w:ascii="Cambria" w:hAnsi="Cambria"/>
          <w:i/>
          <w:iCs/>
        </w:rPr>
        <w:t>reo</w:t>
      </w:r>
      <w:proofErr w:type="spellEnd"/>
      <w:r w:rsidRPr="005D5D56">
        <w:rPr>
          <w:rFonts w:ascii="Cambria" w:hAnsi="Cambria"/>
          <w:i/>
          <w:iCs/>
        </w:rPr>
        <w:t xml:space="preserve"> </w:t>
      </w:r>
      <w:proofErr w:type="spellStart"/>
      <w:r w:rsidRPr="005D5D56">
        <w:rPr>
          <w:rFonts w:ascii="Cambria" w:hAnsi="Cambria"/>
          <w:i/>
          <w:iCs/>
        </w:rPr>
        <w:t>mā’ohi</w:t>
      </w:r>
      <w:proofErr w:type="spellEnd"/>
      <w:r w:rsidRPr="005D5D56">
        <w:rPr>
          <w:rFonts w:ascii="Cambria" w:hAnsi="Cambria"/>
        </w:rPr>
        <w:t xml:space="preserve"> au cycle 3 comme moyen de prévention et de lutte contre l’illettrisme en Polynésie française ou ReoC3 », réalisée de 2011 à 2014. Les objectifs étaient </w:t>
      </w:r>
      <w:r w:rsidRPr="00DF3262">
        <w:rPr>
          <w:rFonts w:ascii="Cambria" w:hAnsi="Cambria"/>
        </w:rPr>
        <w:t>de mesurer l’impact d’un dispositif pédagogique bilingue sur la réussite scolaire et le développement langagier des élèves au cycle 3 </w:t>
      </w:r>
      <w:r w:rsidR="00DF3262">
        <w:rPr>
          <w:rFonts w:ascii="Cambria" w:hAnsi="Cambria"/>
        </w:rPr>
        <w:t xml:space="preserve">et </w:t>
      </w:r>
      <w:r w:rsidRPr="00DF3262">
        <w:rPr>
          <w:rFonts w:ascii="Cambria" w:hAnsi="Cambria"/>
        </w:rPr>
        <w:t xml:space="preserve">d’apprécier l’impact sur les stratégies de transmission dans les familles et sur le dialogue entre l’institution scolaire et familles. A l’instar des expérimentations précédentes, 5 heures hebdomadaires de tahitien ont été dispensées aux élèves de CE2, CM1 et CM2 issus de 7 écoles primaires de Tahiti et Moorea. </w:t>
      </w:r>
    </w:p>
    <w:p w14:paraId="0FF1F5F7" w14:textId="77777777" w:rsidR="005D5D56" w:rsidRPr="005D5D56" w:rsidRDefault="005D5D56" w:rsidP="005D5D56">
      <w:pPr>
        <w:pStyle w:val="NormalWeb"/>
        <w:jc w:val="both"/>
        <w:rPr>
          <w:rFonts w:ascii="Cambria" w:hAnsi="Cambria"/>
        </w:rPr>
      </w:pPr>
    </w:p>
    <w:p w14:paraId="70A60A30" w14:textId="49B2DDCA" w:rsidR="005D5D56" w:rsidRPr="005D5D56" w:rsidRDefault="005D5D56" w:rsidP="00DF3262">
      <w:pPr>
        <w:pStyle w:val="NormalWeb"/>
        <w:jc w:val="both"/>
        <w:rPr>
          <w:rFonts w:ascii="Cambria" w:hAnsi="Cambria"/>
        </w:rPr>
      </w:pPr>
      <w:r w:rsidRPr="005D5D56">
        <w:rPr>
          <w:rFonts w:ascii="Cambria" w:hAnsi="Cambria"/>
        </w:rPr>
        <w:t xml:space="preserve">Les différentes évaluations ont permis de conclure que les élèves ayant bénéficié de ce dispositif étaient, </w:t>
      </w:r>
      <w:proofErr w:type="gramStart"/>
      <w:r w:rsidRPr="005D5D56">
        <w:rPr>
          <w:rFonts w:ascii="Cambria" w:hAnsi="Cambria"/>
        </w:rPr>
        <w:t>au final</w:t>
      </w:r>
      <w:proofErr w:type="gramEnd"/>
      <w:r w:rsidRPr="005D5D56">
        <w:rPr>
          <w:rFonts w:ascii="Cambria" w:hAnsi="Cambria"/>
        </w:rPr>
        <w:t>, aussi performants en français que ceux des groupes contrôle et bien meilleurs que ces derniers en tahitien</w:t>
      </w:r>
      <w:r w:rsidR="00DF3262">
        <w:rPr>
          <w:rFonts w:ascii="Cambria" w:hAnsi="Cambria"/>
        </w:rPr>
        <w:t xml:space="preserve">, </w:t>
      </w:r>
      <w:r w:rsidRPr="005D5D56">
        <w:rPr>
          <w:rFonts w:ascii="Cambria" w:hAnsi="Cambria"/>
        </w:rPr>
        <w:t>qu’il n’y a pas d’entrave à l’acquisition de la langue d’enseignement (le français)</w:t>
      </w:r>
      <w:r w:rsidR="00DF3262">
        <w:rPr>
          <w:rFonts w:ascii="Cambria" w:hAnsi="Cambria"/>
        </w:rPr>
        <w:t xml:space="preserve">, </w:t>
      </w:r>
      <w:r w:rsidRPr="005D5D56">
        <w:rPr>
          <w:rFonts w:ascii="Cambria" w:hAnsi="Cambria"/>
        </w:rPr>
        <w:t xml:space="preserve">que l’enseignement du tahitien à la fois à l’oral et à l’écrit favorise l’émergence de transferts vers le français </w:t>
      </w:r>
      <w:r w:rsidR="00DF3262">
        <w:rPr>
          <w:rFonts w:ascii="Cambria" w:hAnsi="Cambria"/>
        </w:rPr>
        <w:t xml:space="preserve">et qu’il y a </w:t>
      </w:r>
      <w:r w:rsidRPr="005D5D56">
        <w:rPr>
          <w:rFonts w:ascii="Cambria" w:hAnsi="Cambria"/>
        </w:rPr>
        <w:t>une plus-value au niveau des dimensions conatives.</w:t>
      </w:r>
    </w:p>
    <w:p w14:paraId="293E983E" w14:textId="66CC9361" w:rsidR="005D5D56" w:rsidRPr="005D5D56" w:rsidRDefault="005D5D56" w:rsidP="005D5D56">
      <w:pPr>
        <w:pStyle w:val="NormalWeb"/>
        <w:jc w:val="both"/>
        <w:rPr>
          <w:rFonts w:ascii="Cambria" w:hAnsi="Cambria"/>
        </w:rPr>
      </w:pPr>
      <w:r w:rsidRPr="005D5D56">
        <w:rPr>
          <w:rFonts w:ascii="Cambria" w:hAnsi="Cambria"/>
        </w:rPr>
        <w:t xml:space="preserve">Fort de ces conclusions, le ministère de l’Education a souhaité renforcer ce dispositif en mettant en place un enseignement bilingue français-langue tahitienne à parité horaire. </w:t>
      </w:r>
      <w:r w:rsidR="00DF3262">
        <w:rPr>
          <w:rFonts w:ascii="Cambria" w:hAnsi="Cambria"/>
        </w:rPr>
        <w:t xml:space="preserve"> </w:t>
      </w:r>
      <w:r w:rsidRPr="005D5D56">
        <w:rPr>
          <w:rFonts w:ascii="Cambria" w:hAnsi="Cambria"/>
        </w:rPr>
        <w:t xml:space="preserve">Ainsi, en 2019-2020, l’enseignement bilingue a été instauré dans 2 écoles bilingues (Tiva et </w:t>
      </w:r>
      <w:proofErr w:type="spellStart"/>
      <w:r w:rsidRPr="005D5D56">
        <w:rPr>
          <w:rFonts w:ascii="Cambria" w:hAnsi="Cambria"/>
        </w:rPr>
        <w:t>Maatea</w:t>
      </w:r>
      <w:proofErr w:type="spellEnd"/>
      <w:r w:rsidRPr="005D5D56">
        <w:rPr>
          <w:rFonts w:ascii="Cambria" w:hAnsi="Cambria"/>
        </w:rPr>
        <w:t xml:space="preserve">) et 1 CJA (Paea). Pour ce faire, </w:t>
      </w:r>
      <w:proofErr w:type="spellStart"/>
      <w:r w:rsidR="00DF3262">
        <w:rPr>
          <w:rFonts w:ascii="Cambria" w:hAnsi="Cambria"/>
        </w:rPr>
        <w:t>e</w:t>
      </w:r>
      <w:r w:rsidRPr="005D5D56">
        <w:rPr>
          <w:rFonts w:ascii="Cambria" w:hAnsi="Cambria"/>
        </w:rPr>
        <w:t>dans</w:t>
      </w:r>
      <w:proofErr w:type="spellEnd"/>
      <w:r w:rsidRPr="005D5D56">
        <w:rPr>
          <w:rFonts w:ascii="Cambria" w:hAnsi="Cambria"/>
        </w:rPr>
        <w:t xml:space="preserve"> l’attente de l’élaboration d’une loi du Pays, </w:t>
      </w:r>
      <w:r w:rsidR="00DF3262">
        <w:rPr>
          <w:rFonts w:ascii="Cambria" w:hAnsi="Cambria"/>
        </w:rPr>
        <w:t xml:space="preserve">un </w:t>
      </w:r>
      <w:r w:rsidRPr="005D5D56">
        <w:rPr>
          <w:rFonts w:ascii="Cambria" w:hAnsi="Cambria"/>
        </w:rPr>
        <w:t xml:space="preserve">arrêté du 22 août 2019 portant mise en place à titre expérimental, de sections bilingues français-tahitien à parité horaire au sein des écoles publiques primaires, et des CJA de la Polynésie française et portant création d’un comité de pilotage pour sa mise en œuvre a été pris. </w:t>
      </w:r>
    </w:p>
    <w:p w14:paraId="40A72F25" w14:textId="5F5FA03B" w:rsidR="005D5D56" w:rsidRPr="005D5D56" w:rsidRDefault="005D5D56" w:rsidP="00DF3262">
      <w:pPr>
        <w:pStyle w:val="NormalWeb"/>
        <w:jc w:val="both"/>
        <w:rPr>
          <w:rFonts w:ascii="Cambria" w:hAnsi="Cambria"/>
        </w:rPr>
      </w:pPr>
      <w:r w:rsidRPr="005D5D56">
        <w:rPr>
          <w:rFonts w:ascii="Cambria" w:hAnsi="Cambria"/>
        </w:rPr>
        <w:t>Dans le cadre de l’extension de ce dispositif, en 2020-2021, ont été concernées 6 écoles (</w:t>
      </w:r>
      <w:proofErr w:type="spellStart"/>
      <w:r w:rsidRPr="005D5D56">
        <w:rPr>
          <w:rFonts w:ascii="Cambria" w:hAnsi="Cambria"/>
        </w:rPr>
        <w:t>Taiohae</w:t>
      </w:r>
      <w:proofErr w:type="spellEnd"/>
      <w:r w:rsidRPr="005D5D56">
        <w:rPr>
          <w:rFonts w:ascii="Cambria" w:hAnsi="Cambria"/>
        </w:rPr>
        <w:t xml:space="preserve">, </w:t>
      </w:r>
      <w:proofErr w:type="spellStart"/>
      <w:r w:rsidRPr="005D5D56">
        <w:rPr>
          <w:rFonts w:ascii="Cambria" w:hAnsi="Cambria"/>
        </w:rPr>
        <w:t>Hakahau</w:t>
      </w:r>
      <w:proofErr w:type="spellEnd"/>
      <w:r w:rsidRPr="005D5D56">
        <w:rPr>
          <w:rFonts w:ascii="Cambria" w:hAnsi="Cambria"/>
        </w:rPr>
        <w:t xml:space="preserve">, </w:t>
      </w:r>
      <w:proofErr w:type="spellStart"/>
      <w:r w:rsidRPr="005D5D56">
        <w:rPr>
          <w:rFonts w:ascii="Cambria" w:hAnsi="Cambria"/>
        </w:rPr>
        <w:t>Vaitahu</w:t>
      </w:r>
      <w:proofErr w:type="spellEnd"/>
      <w:r w:rsidRPr="005D5D56">
        <w:rPr>
          <w:rFonts w:ascii="Cambria" w:hAnsi="Cambria"/>
        </w:rPr>
        <w:t xml:space="preserve">, </w:t>
      </w:r>
      <w:proofErr w:type="spellStart"/>
      <w:r w:rsidRPr="005D5D56">
        <w:rPr>
          <w:rFonts w:ascii="Cambria" w:hAnsi="Cambria"/>
        </w:rPr>
        <w:t>Opoa</w:t>
      </w:r>
      <w:proofErr w:type="spellEnd"/>
      <w:r w:rsidRPr="005D5D56">
        <w:rPr>
          <w:rFonts w:ascii="Cambria" w:hAnsi="Cambria"/>
        </w:rPr>
        <w:t xml:space="preserve">, </w:t>
      </w:r>
      <w:proofErr w:type="spellStart"/>
      <w:r w:rsidRPr="005D5D56">
        <w:rPr>
          <w:rFonts w:ascii="Cambria" w:hAnsi="Cambria"/>
        </w:rPr>
        <w:t>Puohine</w:t>
      </w:r>
      <w:proofErr w:type="spellEnd"/>
      <w:r w:rsidRPr="005D5D56">
        <w:rPr>
          <w:rFonts w:ascii="Cambria" w:hAnsi="Cambria"/>
        </w:rPr>
        <w:t xml:space="preserve">, </w:t>
      </w:r>
      <w:proofErr w:type="spellStart"/>
      <w:r w:rsidRPr="005D5D56">
        <w:rPr>
          <w:rFonts w:ascii="Cambria" w:hAnsi="Cambria"/>
        </w:rPr>
        <w:t>Avera-Moerai</w:t>
      </w:r>
      <w:proofErr w:type="spellEnd"/>
      <w:r w:rsidRPr="005D5D56">
        <w:rPr>
          <w:rFonts w:ascii="Cambria" w:hAnsi="Cambria"/>
        </w:rPr>
        <w:t>) et 1 CJA (</w:t>
      </w:r>
      <w:proofErr w:type="spellStart"/>
      <w:r w:rsidRPr="005D5D56">
        <w:rPr>
          <w:rFonts w:ascii="Cambria" w:hAnsi="Cambria"/>
        </w:rPr>
        <w:t>Papenoo</w:t>
      </w:r>
      <w:proofErr w:type="spellEnd"/>
      <w:r w:rsidRPr="005D5D56">
        <w:rPr>
          <w:rFonts w:ascii="Cambria" w:hAnsi="Cambria"/>
        </w:rPr>
        <w:t>)</w:t>
      </w:r>
      <w:r w:rsidR="00DF3262">
        <w:rPr>
          <w:rFonts w:ascii="Cambria" w:hAnsi="Cambria"/>
        </w:rPr>
        <w:t xml:space="preserve"> et </w:t>
      </w:r>
      <w:r w:rsidRPr="005D5D56">
        <w:rPr>
          <w:rFonts w:ascii="Cambria" w:hAnsi="Cambria"/>
        </w:rPr>
        <w:t>2 classes de 6</w:t>
      </w:r>
      <w:r w:rsidRPr="005D5D56">
        <w:rPr>
          <w:rFonts w:ascii="Cambria" w:hAnsi="Cambria"/>
          <w:vertAlign w:val="superscript"/>
        </w:rPr>
        <w:t>ème</w:t>
      </w:r>
      <w:r w:rsidRPr="005D5D56">
        <w:rPr>
          <w:rFonts w:ascii="Cambria" w:hAnsi="Cambria"/>
        </w:rPr>
        <w:t xml:space="preserve"> bilingues au collège de Afareaitu (6h hebdomadaires)</w:t>
      </w:r>
      <w:r w:rsidR="00DF3262">
        <w:rPr>
          <w:rFonts w:ascii="Cambria" w:hAnsi="Cambria"/>
        </w:rPr>
        <w:t xml:space="preserve">. </w:t>
      </w:r>
      <w:r w:rsidRPr="005D5D56">
        <w:rPr>
          <w:rFonts w:ascii="Cambria" w:hAnsi="Cambria"/>
        </w:rPr>
        <w:t xml:space="preserve">En 2021-2022, 7 écoles (Rikitea, </w:t>
      </w:r>
      <w:proofErr w:type="spellStart"/>
      <w:r w:rsidRPr="005D5D56">
        <w:rPr>
          <w:rFonts w:ascii="Cambria" w:hAnsi="Cambria"/>
        </w:rPr>
        <w:t>Hao</w:t>
      </w:r>
      <w:proofErr w:type="spellEnd"/>
      <w:r w:rsidRPr="005D5D56">
        <w:rPr>
          <w:rFonts w:ascii="Cambria" w:hAnsi="Cambria"/>
        </w:rPr>
        <w:t xml:space="preserve">, Amanu, Raivavae, Maeva, </w:t>
      </w:r>
      <w:proofErr w:type="spellStart"/>
      <w:r w:rsidRPr="005D5D56">
        <w:rPr>
          <w:rFonts w:ascii="Cambria" w:hAnsi="Cambria"/>
        </w:rPr>
        <w:t>Maraa-Vaipuarii</w:t>
      </w:r>
      <w:proofErr w:type="spellEnd"/>
      <w:r w:rsidRPr="005D5D56">
        <w:rPr>
          <w:rFonts w:ascii="Cambria" w:hAnsi="Cambria"/>
        </w:rPr>
        <w:t xml:space="preserve"> et </w:t>
      </w:r>
      <w:proofErr w:type="spellStart"/>
      <w:r w:rsidRPr="005D5D56">
        <w:rPr>
          <w:rFonts w:ascii="Cambria" w:hAnsi="Cambria"/>
        </w:rPr>
        <w:t>Verotia</w:t>
      </w:r>
      <w:proofErr w:type="spellEnd"/>
      <w:r w:rsidRPr="005D5D56">
        <w:rPr>
          <w:rFonts w:ascii="Cambria" w:hAnsi="Cambria"/>
        </w:rPr>
        <w:t>) intégreront ce dispositif</w:t>
      </w:r>
      <w:r w:rsidR="00DF3262">
        <w:rPr>
          <w:rFonts w:ascii="Cambria" w:hAnsi="Cambria"/>
        </w:rPr>
        <w:t>. En outre, l</w:t>
      </w:r>
      <w:r w:rsidRPr="005D5D56">
        <w:rPr>
          <w:rFonts w:ascii="Cambria" w:hAnsi="Cambria"/>
        </w:rPr>
        <w:t>’enseignement bilingue en 6</w:t>
      </w:r>
      <w:r w:rsidRPr="005D5D56">
        <w:rPr>
          <w:rFonts w:ascii="Cambria" w:hAnsi="Cambria"/>
          <w:vertAlign w:val="superscript"/>
        </w:rPr>
        <w:t>ème</w:t>
      </w:r>
      <w:r w:rsidRPr="005D5D56">
        <w:rPr>
          <w:rFonts w:ascii="Cambria" w:hAnsi="Cambria"/>
        </w:rPr>
        <w:t xml:space="preserve"> </w:t>
      </w:r>
      <w:r w:rsidR="00DF3262">
        <w:rPr>
          <w:rFonts w:ascii="Cambria" w:hAnsi="Cambria"/>
        </w:rPr>
        <w:t>sera</w:t>
      </w:r>
      <w:r w:rsidRPr="005D5D56">
        <w:rPr>
          <w:rFonts w:ascii="Cambria" w:hAnsi="Cambria"/>
        </w:rPr>
        <w:t xml:space="preserve"> reconduit et poursuivi en 5</w:t>
      </w:r>
      <w:r w:rsidRPr="005D5D56">
        <w:rPr>
          <w:rFonts w:ascii="Cambria" w:hAnsi="Cambria"/>
          <w:vertAlign w:val="superscript"/>
        </w:rPr>
        <w:t>ème</w:t>
      </w:r>
      <w:r w:rsidRPr="005D5D56">
        <w:rPr>
          <w:rFonts w:ascii="Cambria" w:hAnsi="Cambria"/>
        </w:rPr>
        <w:t xml:space="preserve"> au collège de Afareaitu</w:t>
      </w:r>
      <w:r w:rsidR="00DF3262">
        <w:rPr>
          <w:rFonts w:ascii="Cambria" w:hAnsi="Cambria"/>
        </w:rPr>
        <w:t>.</w:t>
      </w:r>
    </w:p>
    <w:p w14:paraId="0CD069CE" w14:textId="1FDE080E" w:rsidR="005D5D56" w:rsidRPr="005D5D56" w:rsidRDefault="005D5D56" w:rsidP="005D5D56">
      <w:pPr>
        <w:pStyle w:val="NormalWeb"/>
        <w:jc w:val="both"/>
        <w:rPr>
          <w:rFonts w:ascii="Cambria" w:hAnsi="Cambria"/>
        </w:rPr>
      </w:pPr>
      <w:r w:rsidRPr="005D5D56">
        <w:rPr>
          <w:rFonts w:ascii="Cambria" w:hAnsi="Cambria"/>
        </w:rPr>
        <w:t xml:space="preserve">La légitimité et la pérennisation de l’enseignement des langues et de la culture polynésiennes et de l’enseignement bilingue français-langues polynésiennes dans </w:t>
      </w:r>
      <w:proofErr w:type="gramStart"/>
      <w:r w:rsidRPr="005D5D56">
        <w:rPr>
          <w:rFonts w:ascii="Cambria" w:hAnsi="Cambria"/>
        </w:rPr>
        <w:t>les premier</w:t>
      </w:r>
      <w:proofErr w:type="gramEnd"/>
      <w:r w:rsidRPr="005D5D56">
        <w:rPr>
          <w:rFonts w:ascii="Cambria" w:hAnsi="Cambria"/>
        </w:rPr>
        <w:t xml:space="preserve"> et second degrés relèvent nécessairement d’une loi du Pays. </w:t>
      </w:r>
      <w:r w:rsidR="00DF3262">
        <w:rPr>
          <w:rFonts w:ascii="Cambria" w:hAnsi="Cambria"/>
        </w:rPr>
        <w:t xml:space="preserve"> </w:t>
      </w:r>
      <w:r w:rsidRPr="005D5D56">
        <w:rPr>
          <w:rFonts w:ascii="Cambria" w:hAnsi="Cambria"/>
        </w:rPr>
        <w:t>Cette loi du Pays a vocation à s’appliquer dans les écoles publiques et privées sous contrat avec l'Etat, les centres de jeunes adolescents et les établissements publics et privés sous contrat avec l'Etat du second degré de la Polynésie française.</w:t>
      </w:r>
    </w:p>
    <w:p w14:paraId="3277AAE0" w14:textId="0B4CE446" w:rsidR="005D5D56" w:rsidRPr="00DF3262" w:rsidRDefault="005D5D56" w:rsidP="005D5D56">
      <w:pPr>
        <w:pStyle w:val="NormalWeb"/>
        <w:jc w:val="both"/>
        <w:rPr>
          <w:rFonts w:ascii="Cambria" w:hAnsi="Cambria"/>
          <w:i/>
          <w:iCs/>
          <w:u w:val="single"/>
        </w:rPr>
      </w:pPr>
      <w:r w:rsidRPr="00DF3262">
        <w:rPr>
          <w:rFonts w:ascii="Cambria" w:hAnsi="Cambria"/>
          <w:i/>
          <w:iCs/>
          <w:u w:val="single"/>
        </w:rPr>
        <w:t>Les objectifs d</w:t>
      </w:r>
      <w:r w:rsidR="00DF3262" w:rsidRPr="00DF3262">
        <w:rPr>
          <w:rFonts w:ascii="Cambria" w:hAnsi="Cambria"/>
          <w:i/>
          <w:iCs/>
          <w:u w:val="single"/>
        </w:rPr>
        <w:t>u</w:t>
      </w:r>
      <w:r w:rsidRPr="00DF3262">
        <w:rPr>
          <w:rFonts w:ascii="Cambria" w:hAnsi="Cambria"/>
          <w:i/>
          <w:iCs/>
          <w:u w:val="single"/>
        </w:rPr>
        <w:t xml:space="preserve"> projet de loi du Pays sont :</w:t>
      </w:r>
      <w:r w:rsidRPr="00DF3262">
        <w:rPr>
          <w:rFonts w:ascii="Cambria" w:hAnsi="Cambria"/>
          <w:i/>
          <w:iCs/>
        </w:rPr>
        <w:t xml:space="preserve"> </w:t>
      </w:r>
    </w:p>
    <w:p w14:paraId="0D2E4E82" w14:textId="0D18028D" w:rsidR="005D5D56" w:rsidRPr="00DF3262" w:rsidRDefault="005D5D56" w:rsidP="00DF3262">
      <w:pPr>
        <w:pStyle w:val="NormalWeb"/>
        <w:numPr>
          <w:ilvl w:val="0"/>
          <w:numId w:val="38"/>
        </w:numPr>
        <w:jc w:val="both"/>
        <w:rPr>
          <w:rFonts w:ascii="Cambria" w:hAnsi="Cambria"/>
        </w:rPr>
      </w:pPr>
      <w:r w:rsidRPr="005D5D56">
        <w:rPr>
          <w:rFonts w:ascii="Cambria" w:hAnsi="Cambria"/>
        </w:rPr>
        <w:t>L’enseignement facultatif des langues et de la culture polynésiennes est proposé dans l’une des deux formes suivantes : </w:t>
      </w:r>
      <w:r w:rsidR="00DF3262">
        <w:rPr>
          <w:rFonts w:ascii="Cambria" w:hAnsi="Cambria"/>
        </w:rPr>
        <w:t>u</w:t>
      </w:r>
      <w:r w:rsidRPr="00DF3262">
        <w:rPr>
          <w:rFonts w:ascii="Cambria" w:hAnsi="Cambria"/>
        </w:rPr>
        <w:t>n enseignement des langues et de la culture polynésiennes </w:t>
      </w:r>
      <w:r w:rsidR="00DF3262">
        <w:rPr>
          <w:rFonts w:ascii="Cambria" w:hAnsi="Cambria"/>
        </w:rPr>
        <w:t>ou u</w:t>
      </w:r>
      <w:r w:rsidRPr="00DF3262">
        <w:rPr>
          <w:rFonts w:ascii="Cambria" w:hAnsi="Cambria"/>
        </w:rPr>
        <w:t xml:space="preserve">n enseignement bilingue en langue française et en langues polynésiennes. </w:t>
      </w:r>
    </w:p>
    <w:p w14:paraId="44867FC2" w14:textId="77777777" w:rsidR="005D5D56" w:rsidRPr="005D5D56" w:rsidRDefault="005D5D56" w:rsidP="005D5D56">
      <w:pPr>
        <w:pStyle w:val="NormalWeb"/>
        <w:numPr>
          <w:ilvl w:val="0"/>
          <w:numId w:val="38"/>
        </w:numPr>
        <w:jc w:val="both"/>
        <w:rPr>
          <w:rFonts w:ascii="Cambria" w:hAnsi="Cambria"/>
        </w:rPr>
      </w:pPr>
      <w:r w:rsidRPr="005D5D56">
        <w:rPr>
          <w:rFonts w:ascii="Cambria" w:hAnsi="Cambria"/>
        </w:rPr>
        <w:t xml:space="preserve">Les enseignants sont autorisés à recourir aux langues polynésiennes, dès lors qu'ils en tirent profit pour leur enseignement. Ils peuvent également s'appuyer sur des éléments de la culture polynésienne pour favoriser l'acquisition du socle commun de connaissances, de compétences et de culture et des programmes scolaires. </w:t>
      </w:r>
    </w:p>
    <w:p w14:paraId="76E00798" w14:textId="77777777" w:rsidR="005D5D56" w:rsidRPr="005D5D56" w:rsidRDefault="005D5D56" w:rsidP="005D5D56">
      <w:pPr>
        <w:pStyle w:val="NormalWeb"/>
        <w:numPr>
          <w:ilvl w:val="0"/>
          <w:numId w:val="38"/>
        </w:numPr>
        <w:jc w:val="both"/>
        <w:rPr>
          <w:rFonts w:ascii="Cambria" w:hAnsi="Cambria"/>
        </w:rPr>
      </w:pPr>
      <w:r w:rsidRPr="005D5D56">
        <w:rPr>
          <w:rFonts w:ascii="Cambria" w:hAnsi="Cambria"/>
        </w:rPr>
        <w:t xml:space="preserve">Créer un « conseil pour l’enseignement des langues et de la culture polynésiennes » qui vient se substituer au comité de pilotage existant. </w:t>
      </w:r>
    </w:p>
    <w:p w14:paraId="58402678" w14:textId="32D1D59E" w:rsidR="005C5492" w:rsidRDefault="005D5D56" w:rsidP="005C5492">
      <w:pPr>
        <w:pStyle w:val="NormalWeb"/>
        <w:jc w:val="both"/>
        <w:rPr>
          <w:rFonts w:ascii="Cambria" w:hAnsi="Cambria"/>
        </w:rPr>
      </w:pPr>
      <w:r w:rsidRPr="005D5D56">
        <w:rPr>
          <w:rFonts w:ascii="Cambria" w:hAnsi="Cambria"/>
        </w:rPr>
        <w:t xml:space="preserve">Le projet de loi du Pays qui est présenté a été soumis et approuvé par le Haut comité de l’éducation le 17 mai 2021 et par le Conseil économique, social, environnemental et culturel le 31 août </w:t>
      </w:r>
      <w:r w:rsidR="00DF3262">
        <w:rPr>
          <w:rFonts w:ascii="Cambria" w:hAnsi="Cambria"/>
        </w:rPr>
        <w:t>2021</w:t>
      </w:r>
      <w:r w:rsidRPr="005D5D56">
        <w:rPr>
          <w:rFonts w:ascii="Cambria" w:hAnsi="Cambria"/>
        </w:rPr>
        <w:t>.</w:t>
      </w:r>
    </w:p>
    <w:p w14:paraId="36FCD056" w14:textId="28BC7C1C" w:rsidR="004A3526" w:rsidRDefault="004A3526" w:rsidP="005C5492">
      <w:pPr>
        <w:pStyle w:val="NormalWeb"/>
        <w:jc w:val="both"/>
        <w:rPr>
          <w:rFonts w:ascii="Cambria" w:hAnsi="Cambria"/>
        </w:rPr>
      </w:pPr>
    </w:p>
    <w:p w14:paraId="1F146253" w14:textId="77777777" w:rsidR="004A3526" w:rsidRPr="00A62B6A" w:rsidRDefault="004A3526" w:rsidP="004A3526">
      <w:pPr>
        <w:pStyle w:val="NormalWeb"/>
        <w:jc w:val="both"/>
        <w:rPr>
          <w:rFonts w:ascii="Cambria" w:hAnsi="Cambria"/>
          <w:b/>
          <w:bCs/>
        </w:rPr>
      </w:pPr>
      <w:r w:rsidRPr="00A62B6A">
        <w:rPr>
          <w:rFonts w:ascii="Cambria" w:hAnsi="Cambria"/>
          <w:b/>
          <w:bCs/>
        </w:rPr>
        <w:t>Simplification de la procédure d’attribution de l’aide au financement du permis de conduire</w:t>
      </w:r>
    </w:p>
    <w:p w14:paraId="6C0CD4EE" w14:textId="77777777" w:rsidR="004A3526" w:rsidRDefault="004A3526" w:rsidP="004A3526">
      <w:pPr>
        <w:tabs>
          <w:tab w:val="left" w:pos="1843"/>
        </w:tabs>
        <w:jc w:val="both"/>
        <w:rPr>
          <w:rFonts w:ascii="Cambria" w:eastAsia="Calibri" w:hAnsi="Cambria"/>
        </w:rPr>
      </w:pPr>
    </w:p>
    <w:p w14:paraId="435192F1" w14:textId="77777777" w:rsidR="004A3526" w:rsidRPr="009465D4" w:rsidRDefault="004A3526" w:rsidP="004A3526">
      <w:pPr>
        <w:tabs>
          <w:tab w:val="left" w:pos="1843"/>
        </w:tabs>
        <w:jc w:val="both"/>
        <w:rPr>
          <w:rFonts w:ascii="Cambria" w:hAnsi="Cambria"/>
          <w:i/>
        </w:rPr>
      </w:pPr>
      <w:r>
        <w:rPr>
          <w:rFonts w:ascii="Cambria" w:eastAsia="Calibri" w:hAnsi="Cambria"/>
        </w:rPr>
        <w:t>Le C</w:t>
      </w:r>
      <w:r w:rsidRPr="00A62B6A">
        <w:rPr>
          <w:rFonts w:ascii="Cambria" w:eastAsia="Calibri" w:hAnsi="Cambria"/>
        </w:rPr>
        <w:t xml:space="preserve">onseil des ministres </w:t>
      </w:r>
      <w:r w:rsidRPr="00A62B6A">
        <w:rPr>
          <w:rFonts w:ascii="Cambria" w:hAnsi="Cambria"/>
        </w:rPr>
        <w:t xml:space="preserve">a adopté la modification de l’arrêté d’application de la loi du Pays du 5 décembre 2019 modifié relative </w:t>
      </w:r>
      <w:r w:rsidRPr="009465D4">
        <w:rPr>
          <w:rFonts w:ascii="Cambria" w:hAnsi="Cambria"/>
        </w:rPr>
        <w:t>à l’aide au financement du permis de conduire.</w:t>
      </w:r>
      <w:r w:rsidRPr="00A62B6A">
        <w:rPr>
          <w:rFonts w:ascii="Cambria" w:hAnsi="Cambria"/>
          <w:i/>
        </w:rPr>
        <w:t xml:space="preserve"> </w:t>
      </w:r>
      <w:r w:rsidRPr="00A62B6A">
        <w:rPr>
          <w:rFonts w:ascii="Cambria" w:hAnsi="Cambria"/>
        </w:rPr>
        <w:t>Cette modification s’inscrit dans la continuité des travaux de simplification de la procédure d’attribution des aides au financement du permis de conduire, initiée dès 2020</w:t>
      </w:r>
      <w:r>
        <w:rPr>
          <w:rFonts w:ascii="Cambria" w:hAnsi="Cambria"/>
        </w:rPr>
        <w:t>,</w:t>
      </w:r>
      <w:r w:rsidRPr="00A62B6A">
        <w:rPr>
          <w:rFonts w:ascii="Cambria" w:hAnsi="Cambria"/>
        </w:rPr>
        <w:t xml:space="preserve"> avec l’instauration du principe de dématérialisation des demandes d’aide sur la plateforme mes-demarches.gov.pf. </w:t>
      </w:r>
    </w:p>
    <w:p w14:paraId="2B7EF15B" w14:textId="77777777" w:rsidR="004A3526" w:rsidRDefault="004A3526" w:rsidP="004A3526">
      <w:pPr>
        <w:tabs>
          <w:tab w:val="left" w:pos="1843"/>
        </w:tabs>
        <w:spacing w:before="120"/>
        <w:jc w:val="both"/>
        <w:rPr>
          <w:rFonts w:ascii="Cambria" w:hAnsi="Cambria"/>
        </w:rPr>
      </w:pPr>
      <w:r w:rsidRPr="00A62B6A">
        <w:rPr>
          <w:rFonts w:ascii="Cambria" w:hAnsi="Cambria"/>
        </w:rPr>
        <w:t>D’une part, les démarches interservices entre la Direction des transports terrestres (DTT) et le Service de l’emploi, de la formation et de l’insertion professionnelles (SEFI) sont</w:t>
      </w:r>
      <w:r>
        <w:rPr>
          <w:rFonts w:ascii="Cambria" w:hAnsi="Cambria"/>
        </w:rPr>
        <w:t xml:space="preserve"> formalisées afin que les demandeurs n’aient plus à se déplacer vers différents guichets pour compléter leur dossier de demande d’aide au financement du permis de conduire (demandeurs d’emploi, bénéficiaire d’une mesure d’aide à l’emploi, en formation SEFI et en apprentissage). Ce partenariat interservices a été opérationnel dès la session d’inscription au dispositif du mois de mars 2021.</w:t>
      </w:r>
    </w:p>
    <w:p w14:paraId="3FFE06AD" w14:textId="77777777" w:rsidR="004A3526" w:rsidRDefault="004A3526" w:rsidP="004A3526">
      <w:pPr>
        <w:tabs>
          <w:tab w:val="left" w:pos="1843"/>
        </w:tabs>
        <w:spacing w:before="120"/>
        <w:jc w:val="both"/>
        <w:rPr>
          <w:rFonts w:ascii="Cambria" w:hAnsi="Cambria"/>
        </w:rPr>
      </w:pPr>
      <w:r>
        <w:rPr>
          <w:rFonts w:ascii="Cambria" w:hAnsi="Cambria"/>
        </w:rPr>
        <w:t>D’autre part, les résultats des travaux de partenariat, engagés en octobre 2020 et finalisés en 2021 entre la DTT et la Caisse de Prévoyance Sociale (CPS) seront opérationnels à compter de la prochaine session de dépôts des demandes du dispositif de financement du permis de conduire.</w:t>
      </w:r>
    </w:p>
    <w:p w14:paraId="0F52F3CA" w14:textId="77777777" w:rsidR="004A3526" w:rsidRDefault="004A3526" w:rsidP="004A3526">
      <w:pPr>
        <w:tabs>
          <w:tab w:val="left" w:pos="1843"/>
        </w:tabs>
        <w:spacing w:before="120"/>
        <w:jc w:val="both"/>
        <w:rPr>
          <w:rFonts w:ascii="Cambria" w:hAnsi="Cambria"/>
        </w:rPr>
      </w:pPr>
      <w:r>
        <w:rPr>
          <w:rFonts w:ascii="Cambria" w:hAnsi="Cambria"/>
        </w:rPr>
        <w:t>Au travers de ce partenariat CPS-DTT, les parties ont œuvré pour simplifier les démarches de l’usager en réduisant le nombre de pièces à joindre à leur demande réalisée au moyen d’un téléservice. Ainsi, via le compte Tatou CPS de l’usager, un justificatif d’éligibilité délivré par la CPS se substituera à un certain nombre de pièces justificatives initialement à la charge du demandeur pour sa démarche qu’il effectuera auprès de la DTT. De même, cette demande pourra désormais se faire via la plateforme mes-demarches.gov.pf qui permettra à l’usager de dématérialiser l’ensemble de sa démarche, ou par un dépôt physique du dossier dont la constitution sera également simplifiée.</w:t>
      </w:r>
    </w:p>
    <w:p w14:paraId="7C5F5728" w14:textId="77777777" w:rsidR="004A3526" w:rsidRPr="009465D4" w:rsidRDefault="004A3526" w:rsidP="004A3526">
      <w:pPr>
        <w:tabs>
          <w:tab w:val="left" w:pos="1843"/>
        </w:tabs>
        <w:spacing w:before="120"/>
        <w:jc w:val="both"/>
        <w:rPr>
          <w:rFonts w:ascii="Cambria" w:hAnsi="Cambria"/>
        </w:rPr>
      </w:pPr>
      <w:r>
        <w:rPr>
          <w:rFonts w:ascii="Cambria" w:hAnsi="Cambria"/>
        </w:rPr>
        <w:t xml:space="preserve">Au-delà de ces actions de simplification, la dématérialisation de cette procédure va concourir à limiter l’accueil du public en cette période sanitaire où la vigilance de tous est nécessaire. </w:t>
      </w:r>
      <w:r w:rsidRPr="00A62B6A">
        <w:rPr>
          <w:rFonts w:ascii="Cambria" w:hAnsi="Cambria"/>
          <w:color w:val="000000"/>
        </w:rPr>
        <w:t xml:space="preserve">En conséquence, la période de dépôt des demandes est ajustée afin de tenir compte de la réalité de la collecte des données par </w:t>
      </w:r>
      <w:r w:rsidRPr="00A62B6A">
        <w:rPr>
          <w:rFonts w:ascii="Cambria" w:hAnsi="Cambria"/>
        </w:rPr>
        <w:t>la CPS</w:t>
      </w:r>
      <w:r w:rsidRPr="00A62B6A">
        <w:rPr>
          <w:rFonts w:ascii="Cambria" w:hAnsi="Cambria"/>
          <w:color w:val="000000"/>
        </w:rPr>
        <w:t xml:space="preserve">. </w:t>
      </w:r>
    </w:p>
    <w:p w14:paraId="709FA45F" w14:textId="77777777" w:rsidR="004A3526" w:rsidRPr="00A62B6A" w:rsidRDefault="004A3526" w:rsidP="004A3526">
      <w:pPr>
        <w:pStyle w:val="NormalWeb"/>
        <w:jc w:val="both"/>
        <w:rPr>
          <w:rFonts w:ascii="Cambria" w:hAnsi="Cambria"/>
        </w:rPr>
      </w:pPr>
    </w:p>
    <w:p w14:paraId="3771C0AE" w14:textId="77777777" w:rsidR="004A3526" w:rsidRPr="00A62B6A" w:rsidRDefault="004A3526" w:rsidP="004A3526">
      <w:pPr>
        <w:pStyle w:val="NormalWeb"/>
        <w:jc w:val="both"/>
        <w:rPr>
          <w:rFonts w:ascii="Cambria" w:hAnsi="Cambria"/>
        </w:rPr>
      </w:pPr>
    </w:p>
    <w:p w14:paraId="21F9A9E8" w14:textId="77777777" w:rsidR="004A3526" w:rsidRPr="009465D4" w:rsidRDefault="004A3526" w:rsidP="004A3526">
      <w:pPr>
        <w:pStyle w:val="NormalWeb"/>
        <w:jc w:val="both"/>
        <w:rPr>
          <w:rFonts w:ascii="Cambria" w:hAnsi="Cambria"/>
          <w:b/>
          <w:bCs/>
        </w:rPr>
      </w:pPr>
      <w:r w:rsidRPr="009465D4">
        <w:rPr>
          <w:rFonts w:ascii="Cambria" w:hAnsi="Cambria"/>
          <w:b/>
          <w:bCs/>
        </w:rPr>
        <w:t>Prorogation du cadre transitoire du contrôle médical de l’aptitude à la conduite</w:t>
      </w:r>
    </w:p>
    <w:p w14:paraId="01F7E2D5" w14:textId="77777777" w:rsidR="004A3526" w:rsidRPr="00A62B6A" w:rsidRDefault="004A3526" w:rsidP="004A3526">
      <w:pPr>
        <w:pStyle w:val="NormalWeb"/>
        <w:jc w:val="both"/>
        <w:rPr>
          <w:rFonts w:ascii="Cambria" w:hAnsi="Cambria"/>
        </w:rPr>
      </w:pPr>
    </w:p>
    <w:p w14:paraId="1DC5A5AD" w14:textId="77777777" w:rsidR="004A3526" w:rsidRPr="00A62B6A" w:rsidRDefault="004A3526" w:rsidP="004A3526">
      <w:pPr>
        <w:tabs>
          <w:tab w:val="left" w:pos="1843"/>
        </w:tabs>
        <w:jc w:val="both"/>
        <w:rPr>
          <w:rFonts w:ascii="Cambria" w:hAnsi="Cambria"/>
          <w:i/>
          <w:color w:val="000000"/>
        </w:rPr>
      </w:pPr>
      <w:r>
        <w:rPr>
          <w:rFonts w:ascii="Cambria" w:hAnsi="Cambria"/>
        </w:rPr>
        <w:t xml:space="preserve">Le </w:t>
      </w:r>
      <w:r>
        <w:rPr>
          <w:rFonts w:ascii="Cambria" w:eastAsia="Calibri" w:hAnsi="Cambria"/>
          <w:color w:val="000000"/>
        </w:rPr>
        <w:t>C</w:t>
      </w:r>
      <w:r w:rsidRPr="00A62B6A">
        <w:rPr>
          <w:rFonts w:ascii="Cambria" w:eastAsia="Calibri" w:hAnsi="Cambria"/>
          <w:color w:val="000000"/>
        </w:rPr>
        <w:t xml:space="preserve">onseil des ministres </w:t>
      </w:r>
      <w:r w:rsidRPr="00A62B6A">
        <w:rPr>
          <w:rFonts w:ascii="Cambria" w:hAnsi="Cambria"/>
          <w:color w:val="000000"/>
        </w:rPr>
        <w:t xml:space="preserve">a prorogé le cadre </w:t>
      </w:r>
      <w:r w:rsidRPr="00A62B6A">
        <w:rPr>
          <w:rFonts w:ascii="Cambria" w:hAnsi="Cambria"/>
        </w:rPr>
        <w:t xml:space="preserve">transitoire du contrôle médical de l’aptitude à la conduite, mis en place par l’arrêté </w:t>
      </w:r>
      <w:r>
        <w:rPr>
          <w:rFonts w:ascii="Cambria" w:hAnsi="Cambria"/>
        </w:rPr>
        <w:t>du Conseil des ministres</w:t>
      </w:r>
      <w:r w:rsidRPr="00A62B6A">
        <w:rPr>
          <w:rFonts w:ascii="Cambria" w:hAnsi="Cambria"/>
        </w:rPr>
        <w:t xml:space="preserve"> du 18 février 2021, </w:t>
      </w:r>
      <w:r w:rsidRPr="00A62B6A">
        <w:rPr>
          <w:rFonts w:ascii="Cambria" w:hAnsi="Cambria"/>
          <w:color w:val="000000"/>
        </w:rPr>
        <w:t>jusqu’au 30 avril 2022.</w:t>
      </w:r>
    </w:p>
    <w:p w14:paraId="42719C57" w14:textId="77777777" w:rsidR="004A3526" w:rsidRPr="00A62B6A" w:rsidRDefault="004A3526" w:rsidP="004A3526">
      <w:pPr>
        <w:tabs>
          <w:tab w:val="left" w:pos="1843"/>
        </w:tabs>
        <w:spacing w:before="120"/>
        <w:jc w:val="both"/>
        <w:rPr>
          <w:rFonts w:ascii="Cambria" w:hAnsi="Cambria"/>
          <w:color w:val="000000"/>
        </w:rPr>
      </w:pPr>
      <w:r w:rsidRPr="00A62B6A">
        <w:rPr>
          <w:rFonts w:ascii="Cambria" w:hAnsi="Cambria"/>
          <w:color w:val="000000"/>
        </w:rPr>
        <w:t xml:space="preserve">Pour rappel, les candidats à un titre de conduite et les conducteurs sont soumis à des examens médicaux destinés à vérifier leur aptitude à la conduite. Pour certaines catégories d’usagers, ces examens peuvent être périodiques ou occasionnels et étaient jusqu’au 20 octobre 2020 réalisés par les services du Centre </w:t>
      </w:r>
      <w:r>
        <w:rPr>
          <w:rFonts w:ascii="Cambria" w:hAnsi="Cambria"/>
          <w:color w:val="000000"/>
        </w:rPr>
        <w:t>h</w:t>
      </w:r>
      <w:r w:rsidRPr="00A62B6A">
        <w:rPr>
          <w:rFonts w:ascii="Cambria" w:hAnsi="Cambria"/>
          <w:color w:val="000000"/>
        </w:rPr>
        <w:t xml:space="preserve">ospitalier de la Polynésie Française (CHPF), sous tension depuis le début de l’épidémie </w:t>
      </w:r>
      <w:r>
        <w:rPr>
          <w:rFonts w:ascii="Cambria" w:hAnsi="Cambria"/>
          <w:color w:val="000000"/>
        </w:rPr>
        <w:t>de</w:t>
      </w:r>
      <w:r w:rsidRPr="00A62B6A">
        <w:rPr>
          <w:rFonts w:ascii="Cambria" w:hAnsi="Cambria"/>
          <w:color w:val="000000"/>
        </w:rPr>
        <w:t xml:space="preserve"> covid-19. </w:t>
      </w:r>
    </w:p>
    <w:p w14:paraId="1B8792D2" w14:textId="77777777" w:rsidR="004A3526" w:rsidRPr="00A62B6A" w:rsidRDefault="004A3526" w:rsidP="004A3526">
      <w:pPr>
        <w:tabs>
          <w:tab w:val="left" w:pos="1843"/>
        </w:tabs>
        <w:spacing w:before="120"/>
        <w:jc w:val="both"/>
        <w:rPr>
          <w:rFonts w:ascii="Cambria" w:hAnsi="Cambria"/>
          <w:color w:val="000000"/>
        </w:rPr>
      </w:pPr>
      <w:r w:rsidRPr="00A62B6A">
        <w:rPr>
          <w:rFonts w:ascii="Cambria" w:hAnsi="Cambria"/>
          <w:color w:val="000000"/>
        </w:rPr>
        <w:t xml:space="preserve">Afin d’assurer la continuité de service, le contrôle médical de l’aptitude à la conduite a été adapté provisoirement. Basée sur l’évolution de la situation sanitaire de la première </w:t>
      </w:r>
      <w:r w:rsidRPr="00A62B6A">
        <w:rPr>
          <w:rFonts w:ascii="Cambria" w:hAnsi="Cambria"/>
          <w:color w:val="000000"/>
        </w:rPr>
        <w:lastRenderedPageBreak/>
        <w:t xml:space="preserve">vague épidémique, cette adaptation provisoire devait initialement se terminer au 1er octobre 2021 avec l’entrée en vigueur d’un nouveau cadre réglementaire. </w:t>
      </w:r>
    </w:p>
    <w:p w14:paraId="3B183444" w14:textId="77777777" w:rsidR="004A3526" w:rsidRPr="00A62B6A" w:rsidRDefault="004A3526" w:rsidP="004A3526">
      <w:pPr>
        <w:tabs>
          <w:tab w:val="left" w:pos="1843"/>
        </w:tabs>
        <w:spacing w:before="120"/>
        <w:jc w:val="both"/>
        <w:rPr>
          <w:rFonts w:ascii="Cambria" w:hAnsi="Cambria"/>
          <w:color w:val="000000"/>
        </w:rPr>
      </w:pPr>
      <w:r w:rsidRPr="00A62B6A">
        <w:rPr>
          <w:rFonts w:ascii="Cambria" w:hAnsi="Cambria"/>
          <w:color w:val="000000"/>
        </w:rPr>
        <w:t xml:space="preserve">Cependant, l’adoption de ce nouveau cadre réglementaire nécessite un délai d’organisation plus long qu’initialement prévu tant du côté de l’administration que du côté des professionnels de santé, actuellement indisponibles compte tenu de leurs missions prioritaires liées à la hausse des contaminations dues à la seconde vague de l’épidémie en raison du variant delta.  </w:t>
      </w:r>
    </w:p>
    <w:p w14:paraId="2A99F477" w14:textId="77777777" w:rsidR="004A3526" w:rsidRPr="00A62B6A" w:rsidRDefault="004A3526" w:rsidP="004A3526">
      <w:pPr>
        <w:tabs>
          <w:tab w:val="left" w:pos="1843"/>
        </w:tabs>
        <w:spacing w:before="120"/>
        <w:jc w:val="both"/>
        <w:rPr>
          <w:rFonts w:ascii="Cambria" w:hAnsi="Cambria"/>
          <w:color w:val="000000"/>
        </w:rPr>
      </w:pPr>
      <w:r w:rsidRPr="00A62B6A">
        <w:rPr>
          <w:rFonts w:ascii="Cambria" w:hAnsi="Cambria"/>
          <w:color w:val="000000"/>
        </w:rPr>
        <w:t>Ce délai supplémentaire permet de finaliser les modalités d’organisation du futur contrôle médical de l’aptitude à la conduite telles que la procédure d’agrément des médecins libéraux souhaitant se spécialiser dans ce type de contrôle médical ou encore la formation de ces derniers, organisée par la Direction des transports terrestres</w:t>
      </w:r>
      <w:r>
        <w:rPr>
          <w:rFonts w:ascii="Cambria" w:hAnsi="Cambria"/>
          <w:color w:val="000000"/>
        </w:rPr>
        <w:t>,</w:t>
      </w:r>
      <w:r w:rsidRPr="00A62B6A">
        <w:rPr>
          <w:rFonts w:ascii="Cambria" w:hAnsi="Cambria"/>
          <w:color w:val="000000"/>
        </w:rPr>
        <w:t xml:space="preserve"> en partenariat avec la gendarmerie et des spécialistes du domaine de la sécurité routière. </w:t>
      </w:r>
    </w:p>
    <w:p w14:paraId="61F214CA" w14:textId="12A93C56" w:rsidR="004A3526" w:rsidRPr="004A3526" w:rsidRDefault="004A3526" w:rsidP="004A3526">
      <w:pPr>
        <w:tabs>
          <w:tab w:val="left" w:pos="1843"/>
        </w:tabs>
        <w:spacing w:before="120"/>
        <w:jc w:val="both"/>
        <w:rPr>
          <w:rFonts w:ascii="Cambria" w:hAnsi="Cambria"/>
          <w:color w:val="000000"/>
        </w:rPr>
      </w:pPr>
      <w:r w:rsidRPr="00A62B6A">
        <w:rPr>
          <w:rFonts w:ascii="Cambria" w:hAnsi="Cambria"/>
          <w:color w:val="000000"/>
        </w:rPr>
        <w:t>Ce prochain cadre réglementaire visera à rapprocher le contrôle médical du public, notamment des professionnels des transports terrestres, sur l’ensemble de la Polynésie française</w:t>
      </w:r>
      <w:r>
        <w:rPr>
          <w:rFonts w:ascii="Cambria" w:hAnsi="Cambria"/>
          <w:color w:val="000000"/>
        </w:rPr>
        <w:t>,</w:t>
      </w:r>
      <w:r w:rsidRPr="00A62B6A">
        <w:rPr>
          <w:rFonts w:ascii="Cambria" w:hAnsi="Cambria"/>
          <w:color w:val="000000"/>
        </w:rPr>
        <w:t xml:space="preserve"> tout en refonçant la sécurité routière sur </w:t>
      </w:r>
      <w:r>
        <w:rPr>
          <w:rFonts w:ascii="Cambria" w:hAnsi="Cambria"/>
          <w:color w:val="000000"/>
        </w:rPr>
        <w:t>les</w:t>
      </w:r>
      <w:r w:rsidRPr="00A62B6A">
        <w:rPr>
          <w:rFonts w:ascii="Cambria" w:hAnsi="Cambria"/>
          <w:color w:val="000000"/>
        </w:rPr>
        <w:t xml:space="preserve"> routes polynésiennes.</w:t>
      </w:r>
    </w:p>
    <w:p w14:paraId="55BD72A6" w14:textId="5FE4292A" w:rsidR="00DF3262" w:rsidRDefault="00DF3262" w:rsidP="005C5492">
      <w:pPr>
        <w:pStyle w:val="NormalWeb"/>
        <w:jc w:val="both"/>
        <w:rPr>
          <w:rFonts w:ascii="Cambria" w:hAnsi="Cambria"/>
        </w:rPr>
      </w:pPr>
    </w:p>
    <w:p w14:paraId="4F0C0873" w14:textId="77777777" w:rsidR="00DF3262" w:rsidRPr="005C5492" w:rsidRDefault="00DF3262" w:rsidP="005C5492">
      <w:pPr>
        <w:pStyle w:val="NormalWeb"/>
        <w:jc w:val="both"/>
        <w:rPr>
          <w:rFonts w:ascii="Cambria" w:hAnsi="Cambria"/>
        </w:rPr>
      </w:pPr>
    </w:p>
    <w:p w14:paraId="58EF9419" w14:textId="77777777" w:rsidR="00CF1DE5" w:rsidRDefault="00CF1DE5" w:rsidP="000A19DF">
      <w:pPr>
        <w:jc w:val="center"/>
        <w:rPr>
          <w:rFonts w:ascii="Cambria" w:hAnsi="Cambria" w:cs="Century Schoolbook"/>
        </w:rPr>
      </w:pPr>
    </w:p>
    <w:p w14:paraId="78E0A985" w14:textId="1DC991EB"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E61"/>
    <w:multiLevelType w:val="multilevel"/>
    <w:tmpl w:val="3642CEC0"/>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2130AD0"/>
    <w:multiLevelType w:val="multilevel"/>
    <w:tmpl w:val="1E143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F3471C"/>
    <w:multiLevelType w:val="hybridMultilevel"/>
    <w:tmpl w:val="FDCE6608"/>
    <w:lvl w:ilvl="0" w:tplc="EBB895C0">
      <w:start w:val="1"/>
      <w:numFmt w:val="bullet"/>
      <w:lvlText w:val="•"/>
      <w:lvlJc w:val="left"/>
      <w:pPr>
        <w:ind w:left="720" w:hanging="360"/>
      </w:pPr>
      <w:rPr>
        <w:rFonts w:ascii="Arial" w:hAnsi="Arial" w:cs="Times New Roman" w:hint="default"/>
      </w:rPr>
    </w:lvl>
    <w:lvl w:ilvl="1" w:tplc="9782E3C4">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C855B16"/>
    <w:multiLevelType w:val="multilevel"/>
    <w:tmpl w:val="3510150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F217592"/>
    <w:multiLevelType w:val="multilevel"/>
    <w:tmpl w:val="3C2EFD4E"/>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3773F25"/>
    <w:multiLevelType w:val="multilevel"/>
    <w:tmpl w:val="5E986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9A14B8C"/>
    <w:multiLevelType w:val="multilevel"/>
    <w:tmpl w:val="E026D2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1D3776"/>
    <w:multiLevelType w:val="multilevel"/>
    <w:tmpl w:val="AD24B1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34E6334"/>
    <w:multiLevelType w:val="multilevel"/>
    <w:tmpl w:val="00947F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0A7749"/>
    <w:multiLevelType w:val="hybridMultilevel"/>
    <w:tmpl w:val="F6CED122"/>
    <w:lvl w:ilvl="0" w:tplc="06EE2B24">
      <w:start w:val="1"/>
      <w:numFmt w:val="bullet"/>
      <w:lvlText w:val="-"/>
      <w:lvlJc w:val="left"/>
      <w:pPr>
        <w:ind w:left="1069" w:hanging="360"/>
      </w:pPr>
      <w:rPr>
        <w:rFonts w:ascii="Cambria" w:hAnsi="Cambri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2" w15:restartNumberingAfterBreak="0">
    <w:nsid w:val="3BF26BD4"/>
    <w:multiLevelType w:val="multilevel"/>
    <w:tmpl w:val="D6FC2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AA70BE"/>
    <w:multiLevelType w:val="hybridMultilevel"/>
    <w:tmpl w:val="D820E494"/>
    <w:lvl w:ilvl="0" w:tplc="30DA7D1A">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414659A7"/>
    <w:multiLevelType w:val="hybridMultilevel"/>
    <w:tmpl w:val="73C4CB38"/>
    <w:lvl w:ilvl="0" w:tplc="9782E3C4">
      <w:numFmt w:val="bullet"/>
      <w:lvlText w:val="-"/>
      <w:lvlJc w:val="left"/>
      <w:pPr>
        <w:ind w:left="1440" w:hanging="360"/>
      </w:pPr>
      <w:rPr>
        <w:rFonts w:ascii="Calibri" w:eastAsia="Calibr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44F702E9"/>
    <w:multiLevelType w:val="hybridMultilevel"/>
    <w:tmpl w:val="9CB44BE2"/>
    <w:lvl w:ilvl="0" w:tplc="B5040A0C">
      <w:start w:val="1"/>
      <w:numFmt w:val="bullet"/>
      <w:lvlText w:val="-"/>
      <w:lvlJc w:val="left"/>
      <w:pPr>
        <w:tabs>
          <w:tab w:val="num" w:pos="1440"/>
        </w:tabs>
        <w:ind w:left="1440" w:hanging="360"/>
      </w:pPr>
      <w:rPr>
        <w:rFonts w:ascii="Times New Roman" w:hAnsi="Times New Roman" w:cs="Times New Roman" w:hint="default"/>
      </w:rPr>
    </w:lvl>
    <w:lvl w:ilvl="1" w:tplc="EAEAA526">
      <w:start w:val="1"/>
      <w:numFmt w:val="bullet"/>
      <w:lvlText w:val="-"/>
      <w:lvlJc w:val="left"/>
      <w:pPr>
        <w:tabs>
          <w:tab w:val="num" w:pos="2160"/>
        </w:tabs>
        <w:ind w:left="2160" w:hanging="360"/>
      </w:pPr>
      <w:rPr>
        <w:rFonts w:ascii="Times New Roman" w:hAnsi="Times New Roman" w:cs="Times New Roman" w:hint="default"/>
      </w:rPr>
    </w:lvl>
    <w:lvl w:ilvl="2" w:tplc="13B8C05C">
      <w:start w:val="1"/>
      <w:numFmt w:val="bullet"/>
      <w:lvlText w:val="-"/>
      <w:lvlJc w:val="left"/>
      <w:pPr>
        <w:tabs>
          <w:tab w:val="num" w:pos="2880"/>
        </w:tabs>
        <w:ind w:left="2880" w:hanging="360"/>
      </w:pPr>
      <w:rPr>
        <w:rFonts w:ascii="Times New Roman" w:hAnsi="Times New Roman" w:cs="Times New Roman" w:hint="default"/>
      </w:rPr>
    </w:lvl>
    <w:lvl w:ilvl="3" w:tplc="08782F3C">
      <w:start w:val="1"/>
      <w:numFmt w:val="bullet"/>
      <w:lvlText w:val="-"/>
      <w:lvlJc w:val="left"/>
      <w:pPr>
        <w:tabs>
          <w:tab w:val="num" w:pos="3600"/>
        </w:tabs>
        <w:ind w:left="3600" w:hanging="360"/>
      </w:pPr>
      <w:rPr>
        <w:rFonts w:ascii="Times New Roman" w:hAnsi="Times New Roman" w:cs="Times New Roman" w:hint="default"/>
      </w:rPr>
    </w:lvl>
    <w:lvl w:ilvl="4" w:tplc="5AD890FC">
      <w:start w:val="1"/>
      <w:numFmt w:val="bullet"/>
      <w:lvlText w:val="-"/>
      <w:lvlJc w:val="left"/>
      <w:pPr>
        <w:tabs>
          <w:tab w:val="num" w:pos="4320"/>
        </w:tabs>
        <w:ind w:left="4320" w:hanging="360"/>
      </w:pPr>
      <w:rPr>
        <w:rFonts w:ascii="Times New Roman" w:hAnsi="Times New Roman" w:cs="Times New Roman" w:hint="default"/>
      </w:rPr>
    </w:lvl>
    <w:lvl w:ilvl="5" w:tplc="9446C0B0">
      <w:start w:val="1"/>
      <w:numFmt w:val="bullet"/>
      <w:lvlText w:val="-"/>
      <w:lvlJc w:val="left"/>
      <w:pPr>
        <w:tabs>
          <w:tab w:val="num" w:pos="5040"/>
        </w:tabs>
        <w:ind w:left="5040" w:hanging="360"/>
      </w:pPr>
      <w:rPr>
        <w:rFonts w:ascii="Times New Roman" w:hAnsi="Times New Roman" w:cs="Times New Roman" w:hint="default"/>
      </w:rPr>
    </w:lvl>
    <w:lvl w:ilvl="6" w:tplc="C9DCB28A">
      <w:start w:val="1"/>
      <w:numFmt w:val="bullet"/>
      <w:lvlText w:val="-"/>
      <w:lvlJc w:val="left"/>
      <w:pPr>
        <w:tabs>
          <w:tab w:val="num" w:pos="5760"/>
        </w:tabs>
        <w:ind w:left="5760" w:hanging="360"/>
      </w:pPr>
      <w:rPr>
        <w:rFonts w:ascii="Times New Roman" w:hAnsi="Times New Roman" w:cs="Times New Roman" w:hint="default"/>
      </w:rPr>
    </w:lvl>
    <w:lvl w:ilvl="7" w:tplc="D07EF88E">
      <w:start w:val="1"/>
      <w:numFmt w:val="bullet"/>
      <w:lvlText w:val="-"/>
      <w:lvlJc w:val="left"/>
      <w:pPr>
        <w:tabs>
          <w:tab w:val="num" w:pos="6480"/>
        </w:tabs>
        <w:ind w:left="6480" w:hanging="360"/>
      </w:pPr>
      <w:rPr>
        <w:rFonts w:ascii="Times New Roman" w:hAnsi="Times New Roman" w:cs="Times New Roman" w:hint="default"/>
      </w:rPr>
    </w:lvl>
    <w:lvl w:ilvl="8" w:tplc="FFACFF7A">
      <w:start w:val="1"/>
      <w:numFmt w:val="bullet"/>
      <w:lvlText w:val="-"/>
      <w:lvlJc w:val="left"/>
      <w:pPr>
        <w:tabs>
          <w:tab w:val="num" w:pos="7200"/>
        </w:tabs>
        <w:ind w:left="7200" w:hanging="360"/>
      </w:pPr>
      <w:rPr>
        <w:rFonts w:ascii="Times New Roman" w:hAnsi="Times New Roman" w:cs="Times New Roman" w:hint="default"/>
      </w:rPr>
    </w:lvl>
  </w:abstractNum>
  <w:abstractNum w:abstractNumId="16" w15:restartNumberingAfterBreak="0">
    <w:nsid w:val="45436FC6"/>
    <w:multiLevelType w:val="multilevel"/>
    <w:tmpl w:val="B48E2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9115871"/>
    <w:multiLevelType w:val="multilevel"/>
    <w:tmpl w:val="45206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20B327D"/>
    <w:multiLevelType w:val="multilevel"/>
    <w:tmpl w:val="4EAEFE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3B1621C"/>
    <w:multiLevelType w:val="hybridMultilevel"/>
    <w:tmpl w:val="1F3EDD1A"/>
    <w:lvl w:ilvl="0" w:tplc="040C0001">
      <w:start w:val="1"/>
      <w:numFmt w:val="bullet"/>
      <w:lvlText w:val=""/>
      <w:lvlJc w:val="left"/>
      <w:pPr>
        <w:ind w:left="720" w:hanging="360"/>
      </w:pPr>
      <w:rPr>
        <w:rFonts w:ascii="Symbol" w:hAnsi="Symbol" w:hint="default"/>
        <w:color w:val="19191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4895480"/>
    <w:multiLevelType w:val="multilevel"/>
    <w:tmpl w:val="004C9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5EF75B8"/>
    <w:multiLevelType w:val="hybridMultilevel"/>
    <w:tmpl w:val="4F168B04"/>
    <w:lvl w:ilvl="0" w:tplc="1C5089CE">
      <w:start w:val="1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A7C0C66"/>
    <w:multiLevelType w:val="hybridMultilevel"/>
    <w:tmpl w:val="96E65F6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B786631"/>
    <w:multiLevelType w:val="multilevel"/>
    <w:tmpl w:val="8132D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11771B7"/>
    <w:multiLevelType w:val="hybridMultilevel"/>
    <w:tmpl w:val="B05E7F9E"/>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40D22D6"/>
    <w:multiLevelType w:val="hybridMultilevel"/>
    <w:tmpl w:val="95BA9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7AA339E"/>
    <w:multiLevelType w:val="hybridMultilevel"/>
    <w:tmpl w:val="CCC08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82D40E9"/>
    <w:multiLevelType w:val="multilevel"/>
    <w:tmpl w:val="1C3A4C86"/>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32" w15:restartNumberingAfterBreak="0">
    <w:nsid w:val="6C4557E6"/>
    <w:multiLevelType w:val="hybridMultilevel"/>
    <w:tmpl w:val="9FDC37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2D64687"/>
    <w:multiLevelType w:val="hybridMultilevel"/>
    <w:tmpl w:val="D65034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46D4F59"/>
    <w:multiLevelType w:val="hybridMultilevel"/>
    <w:tmpl w:val="7C4A9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F119A7"/>
    <w:multiLevelType w:val="hybridMultilevel"/>
    <w:tmpl w:val="AC4C8B4E"/>
    <w:lvl w:ilvl="0" w:tplc="040C0001">
      <w:start w:val="1"/>
      <w:numFmt w:val="bullet"/>
      <w:lvlText w:val=""/>
      <w:lvlJc w:val="left"/>
      <w:pPr>
        <w:ind w:left="360" w:hanging="360"/>
      </w:pPr>
      <w:rPr>
        <w:rFonts w:ascii="Symbol" w:hAnsi="Symbol" w:hint="default"/>
      </w:rPr>
    </w:lvl>
    <w:lvl w:ilvl="1" w:tplc="06EE2B24">
      <w:start w:val="1"/>
      <w:numFmt w:val="bullet"/>
      <w:lvlText w:val="-"/>
      <w:lvlJc w:val="left"/>
      <w:pPr>
        <w:ind w:left="1080" w:hanging="360"/>
      </w:pPr>
      <w:rPr>
        <w:rFonts w:ascii="Cambria" w:hAnsi="Cambri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9F75D49"/>
    <w:multiLevelType w:val="hybridMultilevel"/>
    <w:tmpl w:val="E94829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DEB62E1"/>
    <w:multiLevelType w:val="multilevel"/>
    <w:tmpl w:val="34785AC6"/>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lvlOverride w:ilvl="0">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26"/>
  </w:num>
  <w:num w:numId="6">
    <w:abstractNumId w:val="27"/>
  </w:num>
  <w:num w:numId="7">
    <w:abstractNumId w:val="9"/>
  </w:num>
  <w:num w:numId="8">
    <w:abstractNumId w:val="22"/>
  </w:num>
  <w:num w:numId="9">
    <w:abstractNumId w:val="28"/>
  </w:num>
  <w:num w:numId="10">
    <w:abstractNumId w:val="25"/>
  </w:num>
  <w:num w:numId="11">
    <w:abstractNumId w:val="23"/>
  </w:num>
  <w:num w:numId="12">
    <w:abstractNumId w:val="37"/>
  </w:num>
  <w:num w:numId="13">
    <w:abstractNumId w:val="33"/>
  </w:num>
  <w:num w:numId="14">
    <w:abstractNumId w:val="16"/>
  </w:num>
  <w:num w:numId="15">
    <w:abstractNumId w:val="18"/>
  </w:num>
  <w:num w:numId="16">
    <w:abstractNumId w:val="35"/>
  </w:num>
  <w:num w:numId="17">
    <w:abstractNumId w:val="10"/>
  </w:num>
  <w:num w:numId="18">
    <w:abstractNumId w:val="21"/>
  </w:num>
  <w:num w:numId="19">
    <w:abstractNumId w:val="0"/>
  </w:num>
  <w:num w:numId="20">
    <w:abstractNumId w:val="4"/>
  </w:num>
  <w:num w:numId="21">
    <w:abstractNumId w:val="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6"/>
  </w:num>
  <w:num w:numId="25">
    <w:abstractNumId w:val="6"/>
  </w:num>
  <w:num w:numId="26">
    <w:abstractNumId w:val="7"/>
  </w:num>
  <w:num w:numId="27">
    <w:abstractNumId w:val="12"/>
  </w:num>
  <w:num w:numId="28">
    <w:abstractNumId w:val="24"/>
  </w:num>
  <w:num w:numId="29">
    <w:abstractNumId w:val="30"/>
  </w:num>
  <w:num w:numId="30">
    <w:abstractNumId w:val="19"/>
  </w:num>
  <w:num w:numId="31">
    <w:abstractNumId w:val="5"/>
  </w:num>
  <w:num w:numId="32">
    <w:abstractNumId w:val="1"/>
  </w:num>
  <w:num w:numId="33">
    <w:abstractNumId w:val="20"/>
  </w:num>
  <w:num w:numId="34">
    <w:abstractNumId w:val="14"/>
  </w:num>
  <w:num w:numId="35">
    <w:abstractNumId w:val="36"/>
  </w:num>
  <w:num w:numId="36">
    <w:abstractNumId w:val="15"/>
  </w:num>
  <w:num w:numId="37">
    <w:abstractNumId w:val="29"/>
  </w:num>
  <w:num w:numId="38">
    <w:abstractNumId w:val="32"/>
  </w:num>
  <w:num w:numId="39">
    <w:abstractNumId w:val="2"/>
  </w:num>
  <w:num w:numId="40">
    <w:abstractNumId w:val="13"/>
  </w:num>
  <w:num w:numId="4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308DE"/>
    <w:rsid w:val="00062C36"/>
    <w:rsid w:val="00065D45"/>
    <w:rsid w:val="00067B39"/>
    <w:rsid w:val="000A19DF"/>
    <w:rsid w:val="000C153E"/>
    <w:rsid w:val="000E490F"/>
    <w:rsid w:val="000F3966"/>
    <w:rsid w:val="000F4C48"/>
    <w:rsid w:val="001019EF"/>
    <w:rsid w:val="0010365C"/>
    <w:rsid w:val="001040FD"/>
    <w:rsid w:val="00110E3B"/>
    <w:rsid w:val="0011437E"/>
    <w:rsid w:val="00155E04"/>
    <w:rsid w:val="001657A7"/>
    <w:rsid w:val="00197F24"/>
    <w:rsid w:val="001A441F"/>
    <w:rsid w:val="001A6384"/>
    <w:rsid w:val="001B5671"/>
    <w:rsid w:val="001B6B39"/>
    <w:rsid w:val="001D16CC"/>
    <w:rsid w:val="001D17A4"/>
    <w:rsid w:val="001E09FF"/>
    <w:rsid w:val="001E3D64"/>
    <w:rsid w:val="001F3CD6"/>
    <w:rsid w:val="00203E06"/>
    <w:rsid w:val="002073E8"/>
    <w:rsid w:val="0021696D"/>
    <w:rsid w:val="002234A0"/>
    <w:rsid w:val="00232D7B"/>
    <w:rsid w:val="00235214"/>
    <w:rsid w:val="00261798"/>
    <w:rsid w:val="00263FAF"/>
    <w:rsid w:val="002659FD"/>
    <w:rsid w:val="002A5368"/>
    <w:rsid w:val="002B38E5"/>
    <w:rsid w:val="002D2F1A"/>
    <w:rsid w:val="00302594"/>
    <w:rsid w:val="00303F47"/>
    <w:rsid w:val="00315CE8"/>
    <w:rsid w:val="00324C73"/>
    <w:rsid w:val="0032531B"/>
    <w:rsid w:val="00336845"/>
    <w:rsid w:val="0034573F"/>
    <w:rsid w:val="003A0380"/>
    <w:rsid w:val="003A785E"/>
    <w:rsid w:val="003E32DC"/>
    <w:rsid w:val="003E5889"/>
    <w:rsid w:val="003E7569"/>
    <w:rsid w:val="003F24CA"/>
    <w:rsid w:val="003F7898"/>
    <w:rsid w:val="0040533A"/>
    <w:rsid w:val="00407B4B"/>
    <w:rsid w:val="00410ECC"/>
    <w:rsid w:val="004128F4"/>
    <w:rsid w:val="004178CE"/>
    <w:rsid w:val="004268C8"/>
    <w:rsid w:val="00432D77"/>
    <w:rsid w:val="00453068"/>
    <w:rsid w:val="00455CDE"/>
    <w:rsid w:val="004604B5"/>
    <w:rsid w:val="00464602"/>
    <w:rsid w:val="0047255C"/>
    <w:rsid w:val="0047685E"/>
    <w:rsid w:val="0048276D"/>
    <w:rsid w:val="004A0A22"/>
    <w:rsid w:val="004A0B38"/>
    <w:rsid w:val="004A28D6"/>
    <w:rsid w:val="004A2D7B"/>
    <w:rsid w:val="004A3526"/>
    <w:rsid w:val="004B00A1"/>
    <w:rsid w:val="004C0F64"/>
    <w:rsid w:val="004C71F3"/>
    <w:rsid w:val="004F1350"/>
    <w:rsid w:val="004F4E5C"/>
    <w:rsid w:val="00507A7D"/>
    <w:rsid w:val="005107AD"/>
    <w:rsid w:val="00522EA0"/>
    <w:rsid w:val="00524E73"/>
    <w:rsid w:val="005314A8"/>
    <w:rsid w:val="00532D3D"/>
    <w:rsid w:val="00570711"/>
    <w:rsid w:val="00590A68"/>
    <w:rsid w:val="0059364C"/>
    <w:rsid w:val="005B1894"/>
    <w:rsid w:val="005C5492"/>
    <w:rsid w:val="005D5D56"/>
    <w:rsid w:val="005F3BE8"/>
    <w:rsid w:val="005F535E"/>
    <w:rsid w:val="0060389A"/>
    <w:rsid w:val="00617820"/>
    <w:rsid w:val="00625270"/>
    <w:rsid w:val="00633AFA"/>
    <w:rsid w:val="006676A1"/>
    <w:rsid w:val="0068337E"/>
    <w:rsid w:val="0068570C"/>
    <w:rsid w:val="00685D29"/>
    <w:rsid w:val="0068678A"/>
    <w:rsid w:val="00690ED4"/>
    <w:rsid w:val="006C04BF"/>
    <w:rsid w:val="006C3C9F"/>
    <w:rsid w:val="006C3CC1"/>
    <w:rsid w:val="006E6DA1"/>
    <w:rsid w:val="006F0196"/>
    <w:rsid w:val="006F7FD4"/>
    <w:rsid w:val="00720225"/>
    <w:rsid w:val="00724FBC"/>
    <w:rsid w:val="00731EBA"/>
    <w:rsid w:val="00744496"/>
    <w:rsid w:val="00750891"/>
    <w:rsid w:val="00754E86"/>
    <w:rsid w:val="007A5E09"/>
    <w:rsid w:val="007A6A5E"/>
    <w:rsid w:val="007C393B"/>
    <w:rsid w:val="007D75D5"/>
    <w:rsid w:val="007D76B5"/>
    <w:rsid w:val="007E133D"/>
    <w:rsid w:val="007E1C32"/>
    <w:rsid w:val="007E62B3"/>
    <w:rsid w:val="007F7692"/>
    <w:rsid w:val="00803AC4"/>
    <w:rsid w:val="008056CD"/>
    <w:rsid w:val="00807CE3"/>
    <w:rsid w:val="00814C48"/>
    <w:rsid w:val="00817A45"/>
    <w:rsid w:val="00820BBC"/>
    <w:rsid w:val="00822589"/>
    <w:rsid w:val="008809BE"/>
    <w:rsid w:val="008823C5"/>
    <w:rsid w:val="00884D56"/>
    <w:rsid w:val="00887E90"/>
    <w:rsid w:val="008900C4"/>
    <w:rsid w:val="00890177"/>
    <w:rsid w:val="008946C5"/>
    <w:rsid w:val="008C03E9"/>
    <w:rsid w:val="008D4C19"/>
    <w:rsid w:val="008E0300"/>
    <w:rsid w:val="008E2BD4"/>
    <w:rsid w:val="008E2E81"/>
    <w:rsid w:val="00902A0F"/>
    <w:rsid w:val="00902AD0"/>
    <w:rsid w:val="00916876"/>
    <w:rsid w:val="00920D6D"/>
    <w:rsid w:val="009263A2"/>
    <w:rsid w:val="0094375D"/>
    <w:rsid w:val="00964474"/>
    <w:rsid w:val="009646E6"/>
    <w:rsid w:val="009660E6"/>
    <w:rsid w:val="00966231"/>
    <w:rsid w:val="009744ED"/>
    <w:rsid w:val="00980F0E"/>
    <w:rsid w:val="00986E2E"/>
    <w:rsid w:val="009A0D8B"/>
    <w:rsid w:val="009E34ED"/>
    <w:rsid w:val="009E7DA0"/>
    <w:rsid w:val="00A00B63"/>
    <w:rsid w:val="00A05704"/>
    <w:rsid w:val="00A12C80"/>
    <w:rsid w:val="00A1301D"/>
    <w:rsid w:val="00A534C1"/>
    <w:rsid w:val="00A66B6A"/>
    <w:rsid w:val="00A678AE"/>
    <w:rsid w:val="00A751A0"/>
    <w:rsid w:val="00A83348"/>
    <w:rsid w:val="00A90C15"/>
    <w:rsid w:val="00AA1585"/>
    <w:rsid w:val="00AA1B36"/>
    <w:rsid w:val="00AB5AD0"/>
    <w:rsid w:val="00AD364D"/>
    <w:rsid w:val="00AD4D7B"/>
    <w:rsid w:val="00AE0A7B"/>
    <w:rsid w:val="00B0483D"/>
    <w:rsid w:val="00B05F97"/>
    <w:rsid w:val="00B22E99"/>
    <w:rsid w:val="00B2325C"/>
    <w:rsid w:val="00B31D2D"/>
    <w:rsid w:val="00B321E5"/>
    <w:rsid w:val="00B33E76"/>
    <w:rsid w:val="00B34C72"/>
    <w:rsid w:val="00B35075"/>
    <w:rsid w:val="00B71F05"/>
    <w:rsid w:val="00B7240B"/>
    <w:rsid w:val="00B81E7B"/>
    <w:rsid w:val="00B9245A"/>
    <w:rsid w:val="00B97C80"/>
    <w:rsid w:val="00BA5032"/>
    <w:rsid w:val="00BB7193"/>
    <w:rsid w:val="00BB77F0"/>
    <w:rsid w:val="00BD2018"/>
    <w:rsid w:val="00BE1F42"/>
    <w:rsid w:val="00BF6854"/>
    <w:rsid w:val="00C069A5"/>
    <w:rsid w:val="00C234C8"/>
    <w:rsid w:val="00C257B4"/>
    <w:rsid w:val="00C2611A"/>
    <w:rsid w:val="00C32B09"/>
    <w:rsid w:val="00C41BF8"/>
    <w:rsid w:val="00C41C11"/>
    <w:rsid w:val="00C6114E"/>
    <w:rsid w:val="00C76AD5"/>
    <w:rsid w:val="00C80BBF"/>
    <w:rsid w:val="00C87C8C"/>
    <w:rsid w:val="00C945C0"/>
    <w:rsid w:val="00CB73CF"/>
    <w:rsid w:val="00CC01A4"/>
    <w:rsid w:val="00CC5E46"/>
    <w:rsid w:val="00CD3117"/>
    <w:rsid w:val="00CF1DE5"/>
    <w:rsid w:val="00CF74FD"/>
    <w:rsid w:val="00D115BF"/>
    <w:rsid w:val="00D13D49"/>
    <w:rsid w:val="00D1539E"/>
    <w:rsid w:val="00D21531"/>
    <w:rsid w:val="00D22A2D"/>
    <w:rsid w:val="00D251CE"/>
    <w:rsid w:val="00D410EC"/>
    <w:rsid w:val="00D51096"/>
    <w:rsid w:val="00D5697C"/>
    <w:rsid w:val="00D64937"/>
    <w:rsid w:val="00D7658E"/>
    <w:rsid w:val="00D91BC5"/>
    <w:rsid w:val="00D92064"/>
    <w:rsid w:val="00DA7916"/>
    <w:rsid w:val="00DC0835"/>
    <w:rsid w:val="00DC2D1A"/>
    <w:rsid w:val="00DF3262"/>
    <w:rsid w:val="00E03ED5"/>
    <w:rsid w:val="00E226B8"/>
    <w:rsid w:val="00E26290"/>
    <w:rsid w:val="00E40188"/>
    <w:rsid w:val="00E460C9"/>
    <w:rsid w:val="00E51A6D"/>
    <w:rsid w:val="00E81C54"/>
    <w:rsid w:val="00EE6D3F"/>
    <w:rsid w:val="00EF0BCC"/>
    <w:rsid w:val="00F07947"/>
    <w:rsid w:val="00F14D09"/>
    <w:rsid w:val="00F35395"/>
    <w:rsid w:val="00F402EA"/>
    <w:rsid w:val="00F530C1"/>
    <w:rsid w:val="00F60E41"/>
    <w:rsid w:val="00F767F2"/>
    <w:rsid w:val="00F81704"/>
    <w:rsid w:val="00F84689"/>
    <w:rsid w:val="00F90A62"/>
    <w:rsid w:val="00F947B1"/>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C9"/>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uiPriority w:val="99"/>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lettrehdestinataireadgeda">
    <w:name w:val="-lettrehdestinataireadgeda"/>
    <w:basedOn w:val="Normal"/>
    <w:rsid w:val="00232D7B"/>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34887254">
      <w:bodyDiv w:val="1"/>
      <w:marLeft w:val="0"/>
      <w:marRight w:val="0"/>
      <w:marTop w:val="0"/>
      <w:marBottom w:val="0"/>
      <w:divBdr>
        <w:top w:val="none" w:sz="0" w:space="0" w:color="auto"/>
        <w:left w:val="none" w:sz="0" w:space="0" w:color="auto"/>
        <w:bottom w:val="none" w:sz="0" w:space="0" w:color="auto"/>
        <w:right w:val="none" w:sz="0" w:space="0" w:color="auto"/>
      </w:divBdr>
    </w:div>
    <w:div w:id="51390978">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92571349">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81806668">
      <w:bodyDiv w:val="1"/>
      <w:marLeft w:val="0"/>
      <w:marRight w:val="0"/>
      <w:marTop w:val="0"/>
      <w:marBottom w:val="0"/>
      <w:divBdr>
        <w:top w:val="none" w:sz="0" w:space="0" w:color="auto"/>
        <w:left w:val="none" w:sz="0" w:space="0" w:color="auto"/>
        <w:bottom w:val="none" w:sz="0" w:space="0" w:color="auto"/>
        <w:right w:val="none" w:sz="0" w:space="0" w:color="auto"/>
      </w:divBdr>
    </w:div>
    <w:div w:id="297881495">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41012577">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29274844">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0941147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25046786">
      <w:bodyDiv w:val="1"/>
      <w:marLeft w:val="0"/>
      <w:marRight w:val="0"/>
      <w:marTop w:val="0"/>
      <w:marBottom w:val="0"/>
      <w:divBdr>
        <w:top w:val="none" w:sz="0" w:space="0" w:color="auto"/>
        <w:left w:val="none" w:sz="0" w:space="0" w:color="auto"/>
        <w:bottom w:val="none" w:sz="0" w:space="0" w:color="auto"/>
        <w:right w:val="none" w:sz="0" w:space="0" w:color="auto"/>
      </w:divBdr>
    </w:div>
    <w:div w:id="829365450">
      <w:bodyDiv w:val="1"/>
      <w:marLeft w:val="0"/>
      <w:marRight w:val="0"/>
      <w:marTop w:val="0"/>
      <w:marBottom w:val="0"/>
      <w:divBdr>
        <w:top w:val="none" w:sz="0" w:space="0" w:color="auto"/>
        <w:left w:val="none" w:sz="0" w:space="0" w:color="auto"/>
        <w:bottom w:val="none" w:sz="0" w:space="0" w:color="auto"/>
        <w:right w:val="none" w:sz="0" w:space="0" w:color="auto"/>
      </w:divBdr>
    </w:div>
    <w:div w:id="906651693">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05598108">
      <w:bodyDiv w:val="1"/>
      <w:marLeft w:val="0"/>
      <w:marRight w:val="0"/>
      <w:marTop w:val="0"/>
      <w:marBottom w:val="0"/>
      <w:divBdr>
        <w:top w:val="none" w:sz="0" w:space="0" w:color="auto"/>
        <w:left w:val="none" w:sz="0" w:space="0" w:color="auto"/>
        <w:bottom w:val="none" w:sz="0" w:space="0" w:color="auto"/>
        <w:right w:val="none" w:sz="0" w:space="0" w:color="auto"/>
      </w:divBdr>
    </w:div>
    <w:div w:id="1043990353">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0910546">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0732238">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1719372">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0662968">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34311633">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68081724">
      <w:bodyDiv w:val="1"/>
      <w:marLeft w:val="0"/>
      <w:marRight w:val="0"/>
      <w:marTop w:val="0"/>
      <w:marBottom w:val="0"/>
      <w:divBdr>
        <w:top w:val="none" w:sz="0" w:space="0" w:color="auto"/>
        <w:left w:val="none" w:sz="0" w:space="0" w:color="auto"/>
        <w:bottom w:val="none" w:sz="0" w:space="0" w:color="auto"/>
        <w:right w:val="none" w:sz="0" w:space="0" w:color="auto"/>
      </w:divBdr>
    </w:div>
    <w:div w:id="1275789622">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2161626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58383497">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64273987">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2255542">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571765973">
      <w:bodyDiv w:val="1"/>
      <w:marLeft w:val="0"/>
      <w:marRight w:val="0"/>
      <w:marTop w:val="0"/>
      <w:marBottom w:val="0"/>
      <w:divBdr>
        <w:top w:val="none" w:sz="0" w:space="0" w:color="auto"/>
        <w:left w:val="none" w:sz="0" w:space="0" w:color="auto"/>
        <w:bottom w:val="none" w:sz="0" w:space="0" w:color="auto"/>
        <w:right w:val="none" w:sz="0" w:space="0" w:color="auto"/>
      </w:divBdr>
    </w:div>
    <w:div w:id="1580090264">
      <w:bodyDiv w:val="1"/>
      <w:marLeft w:val="0"/>
      <w:marRight w:val="0"/>
      <w:marTop w:val="0"/>
      <w:marBottom w:val="0"/>
      <w:divBdr>
        <w:top w:val="none" w:sz="0" w:space="0" w:color="auto"/>
        <w:left w:val="none" w:sz="0" w:space="0" w:color="auto"/>
        <w:bottom w:val="none" w:sz="0" w:space="0" w:color="auto"/>
        <w:right w:val="none" w:sz="0" w:space="0" w:color="auto"/>
      </w:divBdr>
    </w:div>
    <w:div w:id="1584334500">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68766850">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0485793">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16208320">
      <w:bodyDiv w:val="1"/>
      <w:marLeft w:val="0"/>
      <w:marRight w:val="0"/>
      <w:marTop w:val="0"/>
      <w:marBottom w:val="0"/>
      <w:divBdr>
        <w:top w:val="none" w:sz="0" w:space="0" w:color="auto"/>
        <w:left w:val="none" w:sz="0" w:space="0" w:color="auto"/>
        <w:bottom w:val="none" w:sz="0" w:space="0" w:color="auto"/>
        <w:right w:val="none" w:sz="0" w:space="0" w:color="auto"/>
      </w:divBdr>
    </w:div>
    <w:div w:id="1923876591">
      <w:bodyDiv w:val="1"/>
      <w:marLeft w:val="0"/>
      <w:marRight w:val="0"/>
      <w:marTop w:val="0"/>
      <w:marBottom w:val="0"/>
      <w:divBdr>
        <w:top w:val="none" w:sz="0" w:space="0" w:color="auto"/>
        <w:left w:val="none" w:sz="0" w:space="0" w:color="auto"/>
        <w:bottom w:val="none" w:sz="0" w:space="0" w:color="auto"/>
        <w:right w:val="none" w:sz="0" w:space="0" w:color="auto"/>
      </w:divBdr>
    </w:div>
    <w:div w:id="1975598800">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078243621">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4582</Words>
  <Characters>25206</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2021-09-15T22:19:00Z</dcterms:created>
  <dcterms:modified xsi:type="dcterms:W3CDTF">2021-09-15T22:19:00Z</dcterms:modified>
</cp:coreProperties>
</file>