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C01890"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D4396A" w:rsidP="00CE47CE">
      <w:pPr>
        <w:tabs>
          <w:tab w:val="left" w:pos="3240"/>
        </w:tabs>
        <w:jc w:val="center"/>
        <w:rPr>
          <w:rFonts w:ascii="Cambria" w:hAnsi="Cambria" w:cs="Arial"/>
          <w:b/>
          <w:i/>
        </w:rPr>
      </w:pPr>
      <w:r>
        <w:rPr>
          <w:rFonts w:ascii="Cambria" w:hAnsi="Cambria" w:cs="Arial"/>
          <w:b/>
          <w:i/>
        </w:rPr>
        <w:t>Mercredi 12</w:t>
      </w:r>
      <w:r w:rsidR="00C354A8">
        <w:rPr>
          <w:rFonts w:ascii="Cambria" w:hAnsi="Cambria" w:cs="Arial"/>
          <w:b/>
          <w:i/>
        </w:rPr>
        <w:t xml:space="preserve"> </w:t>
      </w:r>
      <w:r w:rsidR="001F6D55">
        <w:rPr>
          <w:rFonts w:ascii="Cambria" w:hAnsi="Cambria" w:cs="Arial"/>
          <w:b/>
          <w:i/>
        </w:rPr>
        <w:t>février</w:t>
      </w:r>
      <w:r w:rsidR="00087CFE">
        <w:rPr>
          <w:rFonts w:ascii="Cambria" w:hAnsi="Cambria" w:cs="Arial"/>
          <w:b/>
          <w:i/>
        </w:rPr>
        <w:t xml:space="preserve"> 2020</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F86FFD"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1F6D55" w:rsidRDefault="001F6D55" w:rsidP="00D71284">
      <w:pPr>
        <w:pStyle w:val="-LettreTexteGEDA"/>
        <w:ind w:firstLine="0"/>
        <w:rPr>
          <w:rFonts w:ascii="Cambria" w:hAnsi="Cambria"/>
          <w:b/>
        </w:rPr>
      </w:pPr>
    </w:p>
    <w:p w:rsidR="00BA6838" w:rsidRDefault="00BA6838" w:rsidP="00BA6838">
      <w:pPr>
        <w:pStyle w:val="-LettreTexteGEDA"/>
        <w:spacing w:before="0"/>
        <w:ind w:firstLine="0"/>
        <w:rPr>
          <w:rFonts w:ascii="Cambria" w:hAnsi="Cambria"/>
          <w:b/>
          <w:bCs/>
          <w:noProof w:val="0"/>
        </w:rPr>
      </w:pPr>
    </w:p>
    <w:p w:rsidR="00BA6838" w:rsidRPr="00195F37" w:rsidRDefault="00BA6838" w:rsidP="00BA6838">
      <w:pPr>
        <w:pStyle w:val="-LettreTexteGEDA"/>
        <w:spacing w:before="0"/>
        <w:ind w:firstLine="0"/>
        <w:rPr>
          <w:rFonts w:asciiTheme="majorHAnsi" w:hAnsiTheme="majorHAnsi"/>
          <w:b/>
        </w:rPr>
      </w:pPr>
      <w:bookmarkStart w:id="0" w:name="_GoBack"/>
      <w:bookmarkEnd w:id="0"/>
      <w:r w:rsidRPr="00195F37">
        <w:rPr>
          <w:rFonts w:asciiTheme="majorHAnsi" w:hAnsiTheme="majorHAnsi"/>
          <w:b/>
        </w:rPr>
        <w:t xml:space="preserve">Suspension de la mise sur le marché des produits de vapotage et de recharge de cigarettes électroniques contenant de l’acétate de vitamine E </w:t>
      </w:r>
    </w:p>
    <w:p w:rsidR="00BA6838" w:rsidRPr="00195F37" w:rsidRDefault="00BA6838" w:rsidP="00BA6838">
      <w:pPr>
        <w:pStyle w:val="-LettreTexteGEDA"/>
        <w:ind w:firstLine="0"/>
        <w:rPr>
          <w:rFonts w:asciiTheme="majorHAnsi" w:hAnsiTheme="majorHAnsi"/>
        </w:rPr>
      </w:pPr>
    </w:p>
    <w:p w:rsidR="00BA6838" w:rsidRPr="00195F37" w:rsidRDefault="00BA6838" w:rsidP="00BA6838">
      <w:pPr>
        <w:pStyle w:val="-LettreTexteGEDA"/>
        <w:spacing w:before="0" w:after="240"/>
        <w:ind w:firstLine="0"/>
        <w:rPr>
          <w:rFonts w:asciiTheme="majorHAnsi" w:hAnsiTheme="majorHAnsi"/>
        </w:rPr>
      </w:pPr>
      <w:r w:rsidRPr="00195F37">
        <w:rPr>
          <w:rFonts w:asciiTheme="majorHAnsi" w:hAnsiTheme="majorHAnsi"/>
        </w:rPr>
        <w:t>Plus de 2</w:t>
      </w:r>
      <w:r>
        <w:rPr>
          <w:rFonts w:asciiTheme="majorHAnsi" w:hAnsiTheme="majorHAnsi"/>
        </w:rPr>
        <w:t xml:space="preserve"> </w:t>
      </w:r>
      <w:r w:rsidRPr="00195F37">
        <w:rPr>
          <w:rFonts w:asciiTheme="majorHAnsi" w:hAnsiTheme="majorHAnsi"/>
        </w:rPr>
        <w:t>000 cas de pneumopathies ont été recensés aux Etats-Unis en lien avec l'utilisation de produits ou de recharges de cigarettes électroniques ou de vapotage contenant de l’acétate de vitamine E. Ces pneumopathies ont été à l’origine d’une quarantaine de décès et incitent à la plus grande prudence et à la nécessité de retirer certains dispositifs du marché.</w:t>
      </w:r>
    </w:p>
    <w:p w:rsidR="00BA6838" w:rsidRPr="00195F37" w:rsidRDefault="00BA6838" w:rsidP="00BA6838">
      <w:pPr>
        <w:pStyle w:val="-LettreTexteGEDA"/>
        <w:spacing w:before="0" w:after="240"/>
        <w:ind w:firstLine="0"/>
        <w:rPr>
          <w:rFonts w:asciiTheme="majorHAnsi" w:hAnsiTheme="majorHAnsi"/>
        </w:rPr>
      </w:pPr>
      <w:r w:rsidRPr="00195F37">
        <w:rPr>
          <w:rFonts w:asciiTheme="majorHAnsi" w:hAnsiTheme="majorHAnsi"/>
        </w:rPr>
        <w:t xml:space="preserve">Etant donné les risques posés par ces produits, le Conseil des ministres a interdit en urgence, pour une durée de un an, la présence de la vitamine E dans les produits et recharges de cigarettes électroniques ou de vapotage et </w:t>
      </w:r>
      <w:r>
        <w:rPr>
          <w:rFonts w:asciiTheme="majorHAnsi" w:hAnsiTheme="majorHAnsi"/>
        </w:rPr>
        <w:t xml:space="preserve">a décidé également </w:t>
      </w:r>
      <w:r w:rsidRPr="00195F37">
        <w:rPr>
          <w:rFonts w:asciiTheme="majorHAnsi" w:hAnsiTheme="majorHAnsi"/>
        </w:rPr>
        <w:t xml:space="preserve">de retirer du marché les produits qui seraient déjà mis en vente. </w:t>
      </w:r>
    </w:p>
    <w:p w:rsidR="00BA6838" w:rsidRPr="00195F37" w:rsidRDefault="00BA6838" w:rsidP="00BA6838">
      <w:pPr>
        <w:pStyle w:val="-LettreTexteGEDA"/>
        <w:spacing w:before="0" w:after="240"/>
        <w:ind w:firstLine="0"/>
        <w:rPr>
          <w:rFonts w:asciiTheme="majorHAnsi" w:hAnsiTheme="majorHAnsi"/>
          <w:bCs/>
          <w:noProof w:val="0"/>
        </w:rPr>
      </w:pPr>
      <w:r w:rsidRPr="00195F37">
        <w:rPr>
          <w:rFonts w:asciiTheme="majorHAnsi" w:hAnsiTheme="majorHAnsi"/>
          <w:bCs/>
          <w:noProof w:val="0"/>
        </w:rPr>
        <w:t>Le cadre réglementaire proposé au cours de l’année 2020 permettra de sécuriser ce dispositif et d’encadrer son utilisation notamment la publicité, les lieux de vente et de consommation de ces produits.</w:t>
      </w:r>
    </w:p>
    <w:p w:rsidR="00BA6838" w:rsidRPr="00195F37" w:rsidRDefault="00BA6838" w:rsidP="00BA6838">
      <w:pPr>
        <w:pStyle w:val="-LettreTexteGEDA"/>
        <w:spacing w:before="0" w:after="240"/>
        <w:ind w:firstLine="0"/>
        <w:rPr>
          <w:rFonts w:asciiTheme="majorHAnsi" w:hAnsiTheme="majorHAnsi"/>
          <w:bCs/>
          <w:noProof w:val="0"/>
        </w:rPr>
      </w:pPr>
      <w:r w:rsidRPr="00195F37">
        <w:rPr>
          <w:rFonts w:asciiTheme="majorHAnsi" w:hAnsiTheme="majorHAnsi"/>
          <w:bCs/>
          <w:noProof w:val="0"/>
        </w:rPr>
        <w:t>Tout vendeur engagera sa responsabilit</w:t>
      </w:r>
      <w:r>
        <w:rPr>
          <w:rFonts w:asciiTheme="majorHAnsi" w:hAnsiTheme="majorHAnsi"/>
          <w:bCs/>
          <w:noProof w:val="0"/>
        </w:rPr>
        <w:t>é pénale au titre de la loi du P</w:t>
      </w:r>
      <w:r w:rsidRPr="00195F37">
        <w:rPr>
          <w:rFonts w:asciiTheme="majorHAnsi" w:hAnsiTheme="majorHAnsi"/>
          <w:bCs/>
          <w:noProof w:val="0"/>
        </w:rPr>
        <w:t>ays du  26 septembre 2008 et tout professionnel qui émet, en tout connaissance de cause, un produit contenant une substance interdite, encourt également une incrimination au titre du délit de falsification, puni d’une contravention de 4 474 000 Fcfp et d’une peine d’emprisonnement de deux ans, peine portée au double si la falsification est nuisible à l’homme.</w:t>
      </w:r>
    </w:p>
    <w:p w:rsidR="00BA6838" w:rsidRDefault="00BA6838" w:rsidP="00BA6838">
      <w:pPr>
        <w:pStyle w:val="-LettreTexteGEDA"/>
        <w:spacing w:before="0"/>
        <w:ind w:firstLine="0"/>
        <w:rPr>
          <w:rFonts w:asciiTheme="majorHAnsi" w:hAnsiTheme="majorHAnsi"/>
          <w:b/>
        </w:rPr>
      </w:pPr>
    </w:p>
    <w:p w:rsidR="00BA6838" w:rsidRPr="00E771E8" w:rsidRDefault="00BA6838" w:rsidP="00BA6838">
      <w:pPr>
        <w:pStyle w:val="-LettreTexteGEDA"/>
        <w:spacing w:before="0"/>
        <w:ind w:firstLine="0"/>
        <w:rPr>
          <w:rFonts w:asciiTheme="majorHAnsi" w:hAnsiTheme="majorHAnsi"/>
          <w:b/>
        </w:rPr>
      </w:pPr>
      <w:r w:rsidRPr="00E771E8">
        <w:rPr>
          <w:rFonts w:asciiTheme="majorHAnsi" w:hAnsiTheme="majorHAnsi"/>
          <w:b/>
        </w:rPr>
        <w:t>Co</w:t>
      </w:r>
      <w:r>
        <w:rPr>
          <w:rFonts w:asciiTheme="majorHAnsi" w:hAnsiTheme="majorHAnsi"/>
          <w:b/>
        </w:rPr>
        <w:t>mptes prévisionnels 2020 de la C</w:t>
      </w:r>
      <w:r w:rsidRPr="00E771E8">
        <w:rPr>
          <w:rFonts w:asciiTheme="majorHAnsi" w:hAnsiTheme="majorHAnsi"/>
          <w:b/>
        </w:rPr>
        <w:t>hambre de commerce, d’industrie, des services et des métiers (CCISM)</w:t>
      </w:r>
    </w:p>
    <w:p w:rsidR="00BA6838" w:rsidRPr="00E771E8" w:rsidRDefault="00BA6838" w:rsidP="00BA6838">
      <w:pPr>
        <w:pStyle w:val="-LettreTexteGEDA"/>
        <w:spacing w:before="0"/>
        <w:ind w:firstLine="0"/>
        <w:rPr>
          <w:rFonts w:asciiTheme="majorHAnsi" w:hAnsiTheme="majorHAnsi"/>
        </w:rPr>
      </w:pPr>
    </w:p>
    <w:p w:rsidR="00BA6838" w:rsidRPr="00E771E8" w:rsidRDefault="00BA6838" w:rsidP="00BA6838">
      <w:pPr>
        <w:pStyle w:val="-LettreTexteGEDA"/>
        <w:spacing w:after="120"/>
        <w:ind w:firstLine="0"/>
        <w:rPr>
          <w:rFonts w:asciiTheme="majorHAnsi" w:hAnsiTheme="majorHAnsi"/>
          <w:lang w:eastAsia="en-US"/>
        </w:rPr>
      </w:pPr>
      <w:r w:rsidRPr="00E771E8">
        <w:rPr>
          <w:rFonts w:asciiTheme="majorHAnsi" w:hAnsiTheme="majorHAnsi"/>
          <w:lang w:eastAsia="en-US"/>
        </w:rPr>
        <w:t xml:space="preserve">Conformément à la réglementation comptable et budgétaire de la chambre consulaire, , l’établissement relève pour ses obligations comptables du plan comptable général (PCG). Sur ces bases réglementaires, le Conseil des </w:t>
      </w:r>
      <w:r>
        <w:rPr>
          <w:rFonts w:asciiTheme="majorHAnsi" w:hAnsiTheme="majorHAnsi"/>
          <w:lang w:eastAsia="en-US"/>
        </w:rPr>
        <w:t>m</w:t>
      </w:r>
      <w:r w:rsidRPr="00E771E8">
        <w:rPr>
          <w:rFonts w:asciiTheme="majorHAnsi" w:hAnsiTheme="majorHAnsi"/>
          <w:lang w:eastAsia="en-US"/>
        </w:rPr>
        <w:t>inistres a adopté les comptes prévisionnels de l’établissement pour l’année 2020, présentés en équilibre, à hauteur de 878 075 000 Fcfp tant en recettes qu’en dépenses.</w:t>
      </w:r>
    </w:p>
    <w:p w:rsidR="00BA6838" w:rsidRDefault="00BA6838" w:rsidP="00BA6838">
      <w:pPr>
        <w:pStyle w:val="-LettreTexteGEDA"/>
        <w:spacing w:before="240"/>
        <w:ind w:firstLine="0"/>
        <w:rPr>
          <w:rFonts w:asciiTheme="majorHAnsi" w:hAnsiTheme="majorHAnsi"/>
          <w:szCs w:val="24"/>
        </w:rPr>
      </w:pPr>
      <w:r w:rsidRPr="00E771E8">
        <w:rPr>
          <w:rFonts w:asciiTheme="majorHAnsi" w:hAnsiTheme="majorHAnsi"/>
          <w:szCs w:val="24"/>
        </w:rPr>
        <w:lastRenderedPageBreak/>
        <w:t>Conformément au plan pluriannuel 2019-2023 de la CCISM, le budget d’investissemen</w:t>
      </w:r>
      <w:r>
        <w:rPr>
          <w:rFonts w:asciiTheme="majorHAnsi" w:hAnsiTheme="majorHAnsi"/>
          <w:szCs w:val="24"/>
        </w:rPr>
        <w:t>t 2020 s’élève à 135 millions</w:t>
      </w:r>
      <w:r w:rsidRPr="00E771E8">
        <w:rPr>
          <w:rFonts w:asciiTheme="majorHAnsi" w:hAnsiTheme="majorHAnsi"/>
          <w:szCs w:val="24"/>
        </w:rPr>
        <w:t xml:space="preserve"> </w:t>
      </w:r>
      <w:r w:rsidRPr="00E771E8">
        <w:rPr>
          <w:rFonts w:asciiTheme="majorHAnsi" w:hAnsiTheme="majorHAnsi"/>
          <w:lang w:eastAsia="en-US"/>
        </w:rPr>
        <w:t>Fcfp</w:t>
      </w:r>
      <w:r w:rsidRPr="00E771E8">
        <w:rPr>
          <w:rFonts w:asciiTheme="majorHAnsi" w:hAnsiTheme="majorHAnsi"/>
          <w:szCs w:val="24"/>
        </w:rPr>
        <w:t>, correspondant aux travaux d’aménagement et de rénovation des contructions existantes ainsi qu’en équipements mobiliers et informatique.</w:t>
      </w:r>
    </w:p>
    <w:p w:rsidR="00BA6838" w:rsidRDefault="00BA6838" w:rsidP="00BA6838">
      <w:pPr>
        <w:pStyle w:val="-LettreTexteGEDA"/>
        <w:spacing w:before="240"/>
        <w:ind w:firstLine="0"/>
        <w:rPr>
          <w:rFonts w:asciiTheme="majorHAnsi" w:hAnsiTheme="majorHAnsi"/>
          <w:szCs w:val="24"/>
        </w:rPr>
      </w:pPr>
    </w:p>
    <w:p w:rsidR="00BA6838" w:rsidRPr="00195F37" w:rsidRDefault="00BA6838" w:rsidP="00BA6838">
      <w:pPr>
        <w:pStyle w:val="-LettreTexteGEDA"/>
        <w:spacing w:before="0"/>
        <w:ind w:firstLine="0"/>
        <w:rPr>
          <w:rFonts w:asciiTheme="majorHAnsi" w:hAnsiTheme="majorHAnsi"/>
          <w:b/>
          <w:noProof w:val="0"/>
        </w:rPr>
      </w:pPr>
      <w:r>
        <w:rPr>
          <w:rFonts w:asciiTheme="majorHAnsi" w:hAnsiTheme="majorHAnsi"/>
          <w:b/>
          <w:noProof w:val="0"/>
        </w:rPr>
        <w:t>Hotu M</w:t>
      </w:r>
      <w:r w:rsidRPr="00195F37">
        <w:rPr>
          <w:rFonts w:asciiTheme="majorHAnsi" w:hAnsiTheme="majorHAnsi"/>
          <w:b/>
          <w:noProof w:val="0"/>
        </w:rPr>
        <w:t xml:space="preserve">oana, le magazine de l’économie bleue </w:t>
      </w:r>
    </w:p>
    <w:p w:rsidR="00BA6838" w:rsidRPr="00195F37" w:rsidRDefault="00BA6838" w:rsidP="00BA6838">
      <w:pPr>
        <w:tabs>
          <w:tab w:val="left" w:pos="851"/>
        </w:tabs>
        <w:jc w:val="both"/>
        <w:rPr>
          <w:rFonts w:asciiTheme="majorHAnsi" w:hAnsiTheme="majorHAnsi"/>
          <w:lang w:eastAsia="zh-CN"/>
        </w:rPr>
      </w:pPr>
    </w:p>
    <w:p w:rsidR="00BA6838" w:rsidRPr="00195F37" w:rsidRDefault="00BA6838" w:rsidP="00BA6838">
      <w:pPr>
        <w:pStyle w:val="-LettreTexteGEDA"/>
        <w:ind w:firstLine="0"/>
        <w:rPr>
          <w:rFonts w:asciiTheme="majorHAnsi" w:hAnsiTheme="majorHAnsi"/>
          <w:noProof w:val="0"/>
        </w:rPr>
      </w:pPr>
      <w:r w:rsidRPr="00195F37">
        <w:rPr>
          <w:rFonts w:asciiTheme="majorHAnsi" w:hAnsiTheme="majorHAnsi"/>
          <w:noProof w:val="0"/>
        </w:rPr>
        <w:t xml:space="preserve">La Vice-présidence de la Polynésie française, ministère en charge de l’économie bleue, avec la collaboration de la Direction des ressources marines, </w:t>
      </w:r>
      <w:r>
        <w:rPr>
          <w:rFonts w:asciiTheme="majorHAnsi" w:hAnsiTheme="majorHAnsi"/>
          <w:noProof w:val="0"/>
        </w:rPr>
        <w:t>a</w:t>
      </w:r>
      <w:r w:rsidRPr="00195F37">
        <w:rPr>
          <w:rFonts w:asciiTheme="majorHAnsi" w:hAnsiTheme="majorHAnsi"/>
          <w:noProof w:val="0"/>
        </w:rPr>
        <w:t xml:space="preserve"> réalisé un magazine destiné à promouvoir et valoriser les activités liées à l’économie bleue.</w:t>
      </w:r>
    </w:p>
    <w:p w:rsidR="00BA6838" w:rsidRPr="00195F37" w:rsidRDefault="00BA6838" w:rsidP="00BA6838">
      <w:pPr>
        <w:pStyle w:val="-LettreTexteGEDA"/>
        <w:ind w:firstLine="0"/>
        <w:rPr>
          <w:rFonts w:asciiTheme="majorHAnsi" w:hAnsiTheme="majorHAnsi"/>
          <w:noProof w:val="0"/>
        </w:rPr>
      </w:pPr>
      <w:r w:rsidRPr="00195F37">
        <w:rPr>
          <w:rFonts w:asciiTheme="majorHAnsi" w:hAnsiTheme="majorHAnsi"/>
          <w:noProof w:val="0"/>
        </w:rPr>
        <w:t>Baptisé « H</w:t>
      </w:r>
      <w:r>
        <w:rPr>
          <w:rFonts w:asciiTheme="majorHAnsi" w:hAnsiTheme="majorHAnsi"/>
          <w:noProof w:val="0"/>
        </w:rPr>
        <w:t>otu</w:t>
      </w:r>
      <w:r w:rsidRPr="00195F37">
        <w:rPr>
          <w:rFonts w:asciiTheme="majorHAnsi" w:hAnsiTheme="majorHAnsi"/>
          <w:noProof w:val="0"/>
        </w:rPr>
        <w:t xml:space="preserve"> M</w:t>
      </w:r>
      <w:r>
        <w:rPr>
          <w:rFonts w:asciiTheme="majorHAnsi" w:hAnsiTheme="majorHAnsi"/>
          <w:noProof w:val="0"/>
        </w:rPr>
        <w:t>oana</w:t>
      </w:r>
      <w:r w:rsidRPr="00195F37">
        <w:rPr>
          <w:rFonts w:asciiTheme="majorHAnsi" w:hAnsiTheme="majorHAnsi"/>
          <w:noProof w:val="0"/>
        </w:rPr>
        <w:t> », son objectif est d’informer les professionnels du secteur des actualités des différentes filières, des nouvelles réglementations, des investissements, des avancées en recherche et développement et de mettre en avant les professionnels</w:t>
      </w:r>
      <w:r>
        <w:rPr>
          <w:rFonts w:asciiTheme="majorHAnsi" w:hAnsiTheme="majorHAnsi"/>
          <w:noProof w:val="0"/>
        </w:rPr>
        <w:t xml:space="preserve"> de ce secteur</w:t>
      </w:r>
      <w:r w:rsidRPr="00195F37">
        <w:rPr>
          <w:rFonts w:asciiTheme="majorHAnsi" w:hAnsiTheme="majorHAnsi"/>
          <w:noProof w:val="0"/>
        </w:rPr>
        <w:t>.</w:t>
      </w:r>
    </w:p>
    <w:p w:rsidR="00BA6838" w:rsidRPr="00195F37" w:rsidRDefault="00BA6838" w:rsidP="00BA6838">
      <w:pPr>
        <w:pStyle w:val="-LettreTexteGEDA"/>
        <w:ind w:firstLine="0"/>
        <w:rPr>
          <w:rFonts w:asciiTheme="majorHAnsi" w:hAnsiTheme="majorHAnsi"/>
          <w:noProof w:val="0"/>
        </w:rPr>
      </w:pPr>
      <w:r w:rsidRPr="00195F37">
        <w:rPr>
          <w:rFonts w:asciiTheme="majorHAnsi" w:hAnsiTheme="majorHAnsi"/>
          <w:noProof w:val="0"/>
        </w:rPr>
        <w:t>Ce magazine gratuit s’adresse principalement aux professionnels du secteur maritime (pêche, perliculture, aquaculture), mais aussi au grand public.</w:t>
      </w:r>
      <w:r>
        <w:rPr>
          <w:rFonts w:asciiTheme="majorHAnsi" w:hAnsiTheme="majorHAnsi"/>
          <w:noProof w:val="0"/>
        </w:rPr>
        <w:t xml:space="preserve"> </w:t>
      </w:r>
      <w:r w:rsidRPr="00195F37">
        <w:rPr>
          <w:rFonts w:asciiTheme="majorHAnsi" w:hAnsiTheme="majorHAnsi"/>
          <w:noProof w:val="0"/>
        </w:rPr>
        <w:t xml:space="preserve">Le premier numéro </w:t>
      </w:r>
      <w:r>
        <w:rPr>
          <w:rFonts w:asciiTheme="majorHAnsi" w:hAnsiTheme="majorHAnsi"/>
          <w:noProof w:val="0"/>
        </w:rPr>
        <w:t>a été</w:t>
      </w:r>
      <w:r w:rsidRPr="00195F37">
        <w:rPr>
          <w:rFonts w:asciiTheme="majorHAnsi" w:hAnsiTheme="majorHAnsi"/>
          <w:noProof w:val="0"/>
        </w:rPr>
        <w:t xml:space="preserve"> publié en février. Les prochains numéros seront édités en juillet et décembre prochains.</w:t>
      </w:r>
    </w:p>
    <w:p w:rsidR="00BA6838" w:rsidRDefault="00BA6838" w:rsidP="00BA6838">
      <w:pPr>
        <w:pStyle w:val="-LettreTexteGEDA"/>
        <w:ind w:firstLine="0"/>
        <w:rPr>
          <w:rFonts w:ascii="Cambria" w:hAnsi="Cambria"/>
          <w:b/>
          <w:bCs/>
          <w:noProof w:val="0"/>
        </w:rPr>
      </w:pPr>
    </w:p>
    <w:p w:rsidR="00BA6838" w:rsidRPr="00195F37" w:rsidRDefault="00BA6838" w:rsidP="00BA6838">
      <w:pPr>
        <w:pStyle w:val="-LettreTexteGEDA"/>
        <w:ind w:firstLine="0"/>
        <w:rPr>
          <w:rFonts w:asciiTheme="majorHAnsi" w:hAnsiTheme="majorHAnsi"/>
          <w:b/>
        </w:rPr>
      </w:pPr>
      <w:r w:rsidRPr="00195F37">
        <w:rPr>
          <w:rFonts w:asciiTheme="majorHAnsi" w:hAnsiTheme="majorHAnsi"/>
          <w:b/>
        </w:rPr>
        <w:t xml:space="preserve">Stabilité de l’indice des prix </w:t>
      </w:r>
      <w:r>
        <w:rPr>
          <w:rFonts w:asciiTheme="majorHAnsi" w:hAnsiTheme="majorHAnsi"/>
          <w:b/>
        </w:rPr>
        <w:t>pour le mois de janvier</w:t>
      </w:r>
    </w:p>
    <w:p w:rsidR="00BA6838" w:rsidRDefault="00BA6838" w:rsidP="00BA6838">
      <w:pPr>
        <w:pStyle w:val="-LettreTexteGEDA"/>
        <w:ind w:firstLine="0"/>
        <w:rPr>
          <w:rFonts w:asciiTheme="majorHAnsi" w:hAnsiTheme="majorHAnsi"/>
        </w:rPr>
      </w:pPr>
    </w:p>
    <w:p w:rsidR="00BA6838" w:rsidRPr="00195F37" w:rsidRDefault="00BA6838" w:rsidP="00BA6838">
      <w:pPr>
        <w:pStyle w:val="-LettreTexteGEDA"/>
        <w:ind w:firstLine="0"/>
        <w:rPr>
          <w:rFonts w:asciiTheme="majorHAnsi" w:hAnsiTheme="majorHAnsi"/>
          <w:noProof w:val="0"/>
        </w:rPr>
      </w:pPr>
      <w:r w:rsidRPr="00195F37">
        <w:rPr>
          <w:rFonts w:asciiTheme="majorHAnsi" w:hAnsiTheme="majorHAnsi"/>
        </w:rPr>
        <w:t xml:space="preserve">En janvier, l'indice des prix à la consommation reste globalement stable et s'établit </w:t>
      </w:r>
      <w:r w:rsidRPr="00195F37">
        <w:rPr>
          <w:rFonts w:asciiTheme="majorHAnsi" w:hAnsiTheme="majorHAnsi"/>
          <w:noProof w:val="0"/>
        </w:rPr>
        <w:t xml:space="preserve">à 99,99. La baisse de 2,2 % des prix dans la division Transports compense la hausse de 2,2 % des prix des produits alimentaires et boissons non alcoolisées. </w:t>
      </w:r>
    </w:p>
    <w:p w:rsidR="00BA6838" w:rsidRPr="00195F37" w:rsidRDefault="00BA6838" w:rsidP="00BA6838">
      <w:pPr>
        <w:pStyle w:val="-LettreTexteGEDA"/>
        <w:ind w:firstLine="0"/>
        <w:rPr>
          <w:rFonts w:asciiTheme="majorHAnsi" w:hAnsiTheme="majorHAnsi"/>
          <w:noProof w:val="0"/>
        </w:rPr>
      </w:pPr>
      <w:r w:rsidRPr="00195F37">
        <w:rPr>
          <w:rFonts w:asciiTheme="majorHAnsi" w:hAnsiTheme="majorHAnsi"/>
          <w:noProof w:val="0"/>
        </w:rPr>
        <w:t xml:space="preserve">Sur douze mois, l'indice général des prix à la consommation augmente de 1,7 %. L’indice ouvrier augmente de 0,3 % en janvier 2020. Il progresse de 2,7 % en glissement sur douze mois. L'indice général hors Transport aérien international augmente de 0,4 % en janvier 2020. Il est en hausse de 1,8 % en glissement sur douze mois. </w:t>
      </w:r>
    </w:p>
    <w:p w:rsidR="00BA6838" w:rsidRPr="00E771E8" w:rsidRDefault="00BA6838" w:rsidP="00BA6838">
      <w:pPr>
        <w:pStyle w:val="-LettreTexteGEDA"/>
        <w:ind w:firstLine="0"/>
        <w:rPr>
          <w:rFonts w:asciiTheme="majorHAnsi" w:hAnsiTheme="majorHAnsi"/>
          <w:noProof w:val="0"/>
        </w:rPr>
      </w:pPr>
      <w:r w:rsidRPr="00195F37">
        <w:rPr>
          <w:rFonts w:asciiTheme="majorHAnsi" w:hAnsiTheme="majorHAnsi"/>
          <w:noProof w:val="0"/>
        </w:rPr>
        <w:t xml:space="preserve">En janvier </w:t>
      </w:r>
      <w:r>
        <w:rPr>
          <w:rFonts w:asciiTheme="majorHAnsi" w:hAnsiTheme="majorHAnsi"/>
          <w:noProof w:val="0"/>
        </w:rPr>
        <w:t>également</w:t>
      </w:r>
      <w:r w:rsidRPr="00195F37">
        <w:rPr>
          <w:rFonts w:asciiTheme="majorHAnsi" w:hAnsiTheme="majorHAnsi"/>
          <w:noProof w:val="0"/>
        </w:rPr>
        <w:t xml:space="preserve">, l'index du Bâtiment et des Travaux Publics (BTP) augmente de 0,5 %. Cette évolution est principalement liée à la hausse de prix des matériaux métalliques (+ 1,3 %) et électriques (+ 0,8 %). </w:t>
      </w:r>
      <w:r>
        <w:rPr>
          <w:rFonts w:asciiTheme="majorHAnsi" w:hAnsiTheme="majorHAnsi"/>
          <w:noProof w:val="0"/>
        </w:rPr>
        <w:t xml:space="preserve"> </w:t>
      </w:r>
      <w:r w:rsidRPr="00195F37">
        <w:rPr>
          <w:rFonts w:asciiTheme="majorHAnsi" w:hAnsiTheme="majorHAnsi"/>
          <w:noProof w:val="0"/>
        </w:rPr>
        <w:t>L'index du Bâtiment progresse de 0,8 % et celui des Travaux Publics reste stable. Dans le Bâtiment, l'index du Gros Œuvre augmente de 0,6 % et celui du Second Œuvre de 1,1 %.</w:t>
      </w:r>
      <w:r>
        <w:rPr>
          <w:rFonts w:asciiTheme="majorHAnsi" w:hAnsiTheme="majorHAnsi"/>
          <w:noProof w:val="0"/>
        </w:rPr>
        <w:t xml:space="preserve"> </w:t>
      </w:r>
      <w:r w:rsidRPr="00195F37">
        <w:rPr>
          <w:rFonts w:asciiTheme="majorHAnsi" w:hAnsiTheme="majorHAnsi"/>
          <w:noProof w:val="0"/>
        </w:rPr>
        <w:t xml:space="preserve">Dans les Travaux Publics, l'index du Génie Civil est stable et celui des Travaux Spécialisés progresse de 0,2 %. Sur 12 mois, l'index général du BTP est en hausse </w:t>
      </w:r>
      <w:r>
        <w:rPr>
          <w:rFonts w:asciiTheme="majorHAnsi" w:hAnsiTheme="majorHAnsi"/>
          <w:noProof w:val="0"/>
        </w:rPr>
        <w:t xml:space="preserve">de 0,5 % ; l'index du Bâtiment </w:t>
      </w:r>
      <w:r w:rsidRPr="00195F37">
        <w:rPr>
          <w:rFonts w:asciiTheme="majorHAnsi" w:hAnsiTheme="majorHAnsi"/>
          <w:noProof w:val="0"/>
        </w:rPr>
        <w:t>croît de 0,8 % et celui des Travaux Publics de 0,3 %.</w:t>
      </w:r>
    </w:p>
    <w:p w:rsidR="00BA6838" w:rsidRPr="00195F37" w:rsidRDefault="00BA6838" w:rsidP="00BA6838">
      <w:pPr>
        <w:pStyle w:val="-LettreTexteGEDA"/>
        <w:ind w:firstLine="0"/>
        <w:rPr>
          <w:rFonts w:asciiTheme="majorHAnsi" w:hAnsiTheme="majorHAnsi"/>
          <w:szCs w:val="24"/>
        </w:rPr>
      </w:pPr>
      <w:r>
        <w:rPr>
          <w:rFonts w:asciiTheme="majorHAnsi" w:hAnsiTheme="majorHAnsi"/>
          <w:noProof w:val="0"/>
        </w:rPr>
        <w:t>Toujours pour le mois de</w:t>
      </w:r>
      <w:r w:rsidRPr="00E771E8">
        <w:rPr>
          <w:rFonts w:asciiTheme="majorHAnsi" w:hAnsiTheme="majorHAnsi"/>
          <w:noProof w:val="0"/>
        </w:rPr>
        <w:t xml:space="preserve"> janvier</w:t>
      </w:r>
      <w:r w:rsidRPr="00195F37">
        <w:rPr>
          <w:rFonts w:asciiTheme="majorHAnsi" w:hAnsiTheme="majorHAnsi"/>
          <w:szCs w:val="24"/>
        </w:rPr>
        <w:t>, les index hybrides prennent les valeurs suivantes (base 100 en décembre 2010) :</w:t>
      </w:r>
    </w:p>
    <w:p w:rsidR="00BA6838" w:rsidRPr="00195F37" w:rsidRDefault="00BA6838" w:rsidP="00BA6838">
      <w:pPr>
        <w:pStyle w:val="-LettreTexteGEDA"/>
        <w:rPr>
          <w:rFonts w:asciiTheme="majorHAnsi" w:hAnsiTheme="majorHAnsi"/>
          <w:szCs w:val="24"/>
        </w:rPr>
      </w:pPr>
    </w:p>
    <w:tbl>
      <w:tblPr>
        <w:tblW w:w="9634" w:type="dxa"/>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5665"/>
        <w:gridCol w:w="1276"/>
        <w:gridCol w:w="1309"/>
        <w:gridCol w:w="1384"/>
      </w:tblGrid>
      <w:tr w:rsidR="00BA6838" w:rsidRPr="00195F37" w:rsidTr="009602A4">
        <w:trPr>
          <w:trHeight w:val="315"/>
        </w:trPr>
        <w:tc>
          <w:tcPr>
            <w:tcW w:w="5665" w:type="dxa"/>
            <w:vMerge w:val="restart"/>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rPr>
                <w:rFonts w:asciiTheme="majorHAnsi" w:hAnsiTheme="majorHAnsi"/>
                <w:b/>
                <w:color w:val="000000"/>
              </w:rPr>
            </w:pPr>
            <w:r w:rsidRPr="00195F37">
              <w:rPr>
                <w:rFonts w:asciiTheme="majorHAnsi" w:hAnsiTheme="majorHAnsi"/>
                <w:b/>
                <w:color w:val="000000"/>
              </w:rPr>
              <w:t>Index</w:t>
            </w:r>
          </w:p>
        </w:tc>
        <w:tc>
          <w:tcPr>
            <w:tcW w:w="1276" w:type="dxa"/>
            <w:vMerge w:val="restart"/>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jc w:val="center"/>
              <w:rPr>
                <w:rFonts w:asciiTheme="majorHAnsi" w:hAnsiTheme="majorHAnsi"/>
                <w:b/>
                <w:color w:val="000000"/>
              </w:rPr>
            </w:pPr>
            <w:r w:rsidRPr="00195F37">
              <w:rPr>
                <w:rFonts w:asciiTheme="majorHAnsi" w:hAnsiTheme="majorHAnsi"/>
                <w:b/>
                <w:color w:val="000000"/>
              </w:rPr>
              <w:t>Valeur</w:t>
            </w:r>
          </w:p>
        </w:tc>
        <w:tc>
          <w:tcPr>
            <w:tcW w:w="2693" w:type="dxa"/>
            <w:gridSpan w:val="2"/>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jc w:val="center"/>
              <w:rPr>
                <w:rFonts w:asciiTheme="majorHAnsi" w:hAnsiTheme="majorHAnsi"/>
                <w:b/>
                <w:color w:val="000000"/>
              </w:rPr>
            </w:pPr>
            <w:r w:rsidRPr="00195F37">
              <w:rPr>
                <w:rFonts w:asciiTheme="majorHAnsi" w:hAnsiTheme="majorHAnsi"/>
                <w:b/>
                <w:color w:val="000000"/>
              </w:rPr>
              <w:t>Variations en %</w:t>
            </w:r>
          </w:p>
        </w:tc>
      </w:tr>
      <w:tr w:rsidR="00BA6838" w:rsidRPr="00195F37" w:rsidTr="009602A4">
        <w:trPr>
          <w:trHeight w:val="315"/>
        </w:trPr>
        <w:tc>
          <w:tcPr>
            <w:tcW w:w="0" w:type="auto"/>
            <w:vMerge/>
            <w:tcBorders>
              <w:top w:val="dotted" w:sz="4" w:space="0" w:color="auto"/>
              <w:left w:val="dotted" w:sz="4" w:space="0" w:color="auto"/>
              <w:bottom w:val="dotted" w:sz="4" w:space="0" w:color="auto"/>
              <w:right w:val="dotted" w:sz="4" w:space="0" w:color="auto"/>
            </w:tcBorders>
            <w:vAlign w:val="center"/>
            <w:hideMark/>
          </w:tcPr>
          <w:p w:rsidR="00BA6838" w:rsidRPr="00195F37" w:rsidRDefault="00BA6838" w:rsidP="009602A4">
            <w:pPr>
              <w:rPr>
                <w:rFonts w:asciiTheme="majorHAnsi" w:hAnsiTheme="majorHAnsi"/>
                <w:b/>
                <w:color w:val="000000"/>
              </w:rPr>
            </w:pPr>
          </w:p>
        </w:tc>
        <w:tc>
          <w:tcPr>
            <w:tcW w:w="0" w:type="auto"/>
            <w:vMerge/>
            <w:tcBorders>
              <w:top w:val="dotted" w:sz="4" w:space="0" w:color="auto"/>
              <w:left w:val="dotted" w:sz="4" w:space="0" w:color="auto"/>
              <w:bottom w:val="dotted" w:sz="4" w:space="0" w:color="auto"/>
              <w:right w:val="dotted" w:sz="4" w:space="0" w:color="auto"/>
            </w:tcBorders>
            <w:vAlign w:val="center"/>
            <w:hideMark/>
          </w:tcPr>
          <w:p w:rsidR="00BA6838" w:rsidRPr="00195F37" w:rsidRDefault="00BA6838" w:rsidP="009602A4">
            <w:pPr>
              <w:rPr>
                <w:rFonts w:asciiTheme="majorHAnsi" w:hAnsiTheme="majorHAnsi"/>
                <w:b/>
                <w:color w:val="000000"/>
              </w:rPr>
            </w:pP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jc w:val="center"/>
              <w:rPr>
                <w:rFonts w:asciiTheme="majorHAnsi" w:hAnsiTheme="majorHAnsi"/>
                <w:b/>
                <w:color w:val="000000"/>
              </w:rPr>
            </w:pPr>
            <w:r w:rsidRPr="00195F37">
              <w:rPr>
                <w:rFonts w:asciiTheme="majorHAnsi" w:hAnsiTheme="majorHAnsi"/>
                <w:b/>
                <w:color w:val="000000"/>
              </w:rPr>
              <w:t>Mensuelle</w:t>
            </w:r>
          </w:p>
        </w:tc>
        <w:tc>
          <w:tcPr>
            <w:tcW w:w="1384" w:type="dxa"/>
            <w:tcBorders>
              <w:top w:val="dotted" w:sz="4" w:space="0" w:color="auto"/>
              <w:left w:val="dotted" w:sz="4" w:space="0" w:color="auto"/>
              <w:bottom w:val="dotted" w:sz="4" w:space="0" w:color="auto"/>
              <w:right w:val="dotted" w:sz="4" w:space="0" w:color="auto"/>
            </w:tcBorders>
            <w:vAlign w:val="center"/>
            <w:hideMark/>
          </w:tcPr>
          <w:p w:rsidR="00BA6838" w:rsidRPr="00195F37" w:rsidRDefault="00BA6838" w:rsidP="009602A4">
            <w:pPr>
              <w:jc w:val="center"/>
              <w:rPr>
                <w:rFonts w:asciiTheme="majorHAnsi" w:hAnsiTheme="majorHAnsi"/>
                <w:b/>
                <w:color w:val="000000"/>
              </w:rPr>
            </w:pPr>
            <w:r w:rsidRPr="00195F37">
              <w:rPr>
                <w:rFonts w:asciiTheme="majorHAnsi" w:hAnsiTheme="majorHAnsi"/>
                <w:b/>
                <w:color w:val="000000"/>
              </w:rPr>
              <w:t>Sur 12 mois</w:t>
            </w:r>
          </w:p>
        </w:tc>
      </w:tr>
      <w:tr w:rsidR="00BA6838" w:rsidRPr="00195F37" w:rsidTr="009602A4">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rPr>
                <w:rFonts w:asciiTheme="majorHAnsi" w:hAnsiTheme="majorHAnsi"/>
                <w:color w:val="000000"/>
              </w:rPr>
            </w:pPr>
            <w:r w:rsidRPr="00195F37">
              <w:rPr>
                <w:rFonts w:asciiTheme="majorHAnsi" w:hAnsiTheme="majorHAnsi"/>
                <w:color w:val="000000"/>
              </w:rPr>
              <w:t>Gardiennage</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115,81</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0,9</w:t>
            </w:r>
          </w:p>
        </w:tc>
        <w:tc>
          <w:tcPr>
            <w:tcW w:w="1384" w:type="dxa"/>
            <w:tcBorders>
              <w:top w:val="dotted" w:sz="4" w:space="0" w:color="auto"/>
              <w:left w:val="dotted" w:sz="4" w:space="0" w:color="auto"/>
              <w:bottom w:val="dotted" w:sz="4" w:space="0" w:color="auto"/>
              <w:right w:val="dotted" w:sz="4" w:space="0" w:color="auto"/>
            </w:tcBorders>
            <w:vAlign w:val="center"/>
            <w:hideMark/>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1,4</w:t>
            </w:r>
          </w:p>
        </w:tc>
      </w:tr>
      <w:tr w:rsidR="00BA6838" w:rsidRPr="00195F37" w:rsidTr="009602A4">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rPr>
                <w:rFonts w:asciiTheme="majorHAnsi" w:hAnsiTheme="majorHAnsi"/>
                <w:color w:val="000000"/>
              </w:rPr>
            </w:pPr>
            <w:r w:rsidRPr="00195F37">
              <w:rPr>
                <w:rFonts w:asciiTheme="majorHAnsi" w:hAnsiTheme="majorHAnsi"/>
                <w:color w:val="000000"/>
              </w:rPr>
              <w:lastRenderedPageBreak/>
              <w:t>Sûreté</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110,89</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0,8</w:t>
            </w:r>
          </w:p>
        </w:tc>
        <w:tc>
          <w:tcPr>
            <w:tcW w:w="1384" w:type="dxa"/>
            <w:tcBorders>
              <w:top w:val="dotted" w:sz="4" w:space="0" w:color="auto"/>
              <w:left w:val="dotted" w:sz="4" w:space="0" w:color="auto"/>
              <w:bottom w:val="dotted" w:sz="4" w:space="0" w:color="auto"/>
              <w:right w:val="dotted" w:sz="4" w:space="0" w:color="auto"/>
            </w:tcBorders>
            <w:vAlign w:val="center"/>
            <w:hideMark/>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1,4</w:t>
            </w:r>
          </w:p>
        </w:tc>
      </w:tr>
      <w:tr w:rsidR="00BA6838" w:rsidRPr="00195F37" w:rsidTr="009602A4">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rPr>
                <w:rFonts w:asciiTheme="majorHAnsi" w:hAnsiTheme="majorHAnsi"/>
                <w:color w:val="000000"/>
              </w:rPr>
            </w:pPr>
            <w:r w:rsidRPr="00195F37">
              <w:rPr>
                <w:rFonts w:asciiTheme="majorHAnsi" w:hAnsiTheme="majorHAnsi"/>
                <w:color w:val="000000"/>
              </w:rPr>
              <w:t>Véhicules Légers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111,10</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w:t>
            </w:r>
          </w:p>
        </w:tc>
        <w:tc>
          <w:tcPr>
            <w:tcW w:w="1384" w:type="dxa"/>
            <w:tcBorders>
              <w:top w:val="dotted" w:sz="4" w:space="0" w:color="auto"/>
              <w:left w:val="dotted" w:sz="4" w:space="0" w:color="auto"/>
              <w:bottom w:val="dotted" w:sz="4" w:space="0" w:color="auto"/>
              <w:right w:val="dotted" w:sz="4" w:space="0" w:color="auto"/>
            </w:tcBorders>
            <w:vAlign w:val="center"/>
            <w:hideMark/>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0,9</w:t>
            </w:r>
          </w:p>
        </w:tc>
      </w:tr>
      <w:tr w:rsidR="00BA6838" w:rsidRPr="00195F37" w:rsidTr="009602A4">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rPr>
                <w:rFonts w:asciiTheme="majorHAnsi" w:hAnsiTheme="majorHAnsi"/>
                <w:color w:val="000000"/>
              </w:rPr>
            </w:pPr>
            <w:r w:rsidRPr="00195F37">
              <w:rPr>
                <w:rFonts w:asciiTheme="majorHAnsi" w:hAnsiTheme="majorHAnsi"/>
                <w:color w:val="000000"/>
              </w:rPr>
              <w:t>Véhicules de Chantier</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105,36</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w:t>
            </w:r>
          </w:p>
        </w:tc>
        <w:tc>
          <w:tcPr>
            <w:tcW w:w="1384" w:type="dxa"/>
            <w:tcBorders>
              <w:top w:val="dotted" w:sz="4" w:space="0" w:color="auto"/>
              <w:left w:val="dotted" w:sz="4" w:space="0" w:color="auto"/>
              <w:bottom w:val="dotted" w:sz="4" w:space="0" w:color="auto"/>
              <w:right w:val="dotted" w:sz="4" w:space="0" w:color="auto"/>
            </w:tcBorders>
            <w:vAlign w:val="center"/>
            <w:hideMark/>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0,7</w:t>
            </w:r>
          </w:p>
        </w:tc>
      </w:tr>
      <w:tr w:rsidR="00BA6838" w:rsidRPr="00195F37" w:rsidTr="009602A4">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rPr>
                <w:rFonts w:asciiTheme="majorHAnsi" w:hAnsiTheme="majorHAnsi"/>
                <w:color w:val="000000"/>
              </w:rPr>
            </w:pPr>
            <w:r w:rsidRPr="00195F37">
              <w:rPr>
                <w:rFonts w:asciiTheme="majorHAnsi" w:hAnsiTheme="majorHAnsi"/>
                <w:color w:val="000000"/>
              </w:rPr>
              <w:t>Construction navale en aluminium</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120,97</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w:t>
            </w:r>
          </w:p>
        </w:tc>
        <w:tc>
          <w:tcPr>
            <w:tcW w:w="1384"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-1,6</w:t>
            </w:r>
          </w:p>
        </w:tc>
      </w:tr>
      <w:tr w:rsidR="00BA6838" w:rsidRPr="00195F37" w:rsidTr="009602A4">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rPr>
                <w:rFonts w:asciiTheme="majorHAnsi" w:hAnsiTheme="majorHAnsi"/>
                <w:color w:val="000000"/>
              </w:rPr>
            </w:pPr>
            <w:r w:rsidRPr="00195F37">
              <w:rPr>
                <w:rFonts w:asciiTheme="majorHAnsi" w:hAnsiTheme="majorHAnsi"/>
                <w:color w:val="000000"/>
              </w:rPr>
              <w:t>Fourniture de pièces détachées pour navires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110,06</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w:t>
            </w:r>
          </w:p>
        </w:tc>
        <w:tc>
          <w:tcPr>
            <w:tcW w:w="1384"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0,7</w:t>
            </w:r>
          </w:p>
        </w:tc>
      </w:tr>
      <w:tr w:rsidR="00BA6838" w:rsidRPr="00195F37" w:rsidTr="009602A4">
        <w:trPr>
          <w:trHeight w:val="315"/>
        </w:trPr>
        <w:tc>
          <w:tcPr>
            <w:tcW w:w="5665"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rPr>
                <w:rFonts w:asciiTheme="majorHAnsi" w:hAnsiTheme="majorHAnsi"/>
                <w:color w:val="000000"/>
              </w:rPr>
            </w:pPr>
            <w:r w:rsidRPr="00195F37">
              <w:rPr>
                <w:rFonts w:asciiTheme="majorHAnsi" w:hAnsiTheme="majorHAnsi"/>
                <w:color w:val="000000"/>
              </w:rPr>
              <w:t>Index des Transports Publics Terrestres</w:t>
            </w:r>
          </w:p>
        </w:tc>
        <w:tc>
          <w:tcPr>
            <w:tcW w:w="1276"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108,35</w:t>
            </w:r>
          </w:p>
        </w:tc>
        <w:tc>
          <w:tcPr>
            <w:tcW w:w="1309"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w:t>
            </w:r>
          </w:p>
        </w:tc>
        <w:tc>
          <w:tcPr>
            <w:tcW w:w="1384" w:type="dxa"/>
            <w:tcBorders>
              <w:top w:val="dotted" w:sz="4" w:space="0" w:color="auto"/>
              <w:left w:val="dotted" w:sz="4" w:space="0" w:color="auto"/>
              <w:bottom w:val="dotted" w:sz="4" w:space="0" w:color="auto"/>
              <w:right w:val="dotted" w:sz="4" w:space="0" w:color="auto"/>
            </w:tcBorders>
            <w:noWrap/>
            <w:vAlign w:val="center"/>
            <w:hideMark/>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0,6</w:t>
            </w:r>
          </w:p>
        </w:tc>
      </w:tr>
      <w:tr w:rsidR="00BA6838" w:rsidRPr="00195F37" w:rsidTr="009602A4">
        <w:trPr>
          <w:trHeight w:val="315"/>
        </w:trPr>
        <w:tc>
          <w:tcPr>
            <w:tcW w:w="5665" w:type="dxa"/>
            <w:tcBorders>
              <w:top w:val="dotted" w:sz="4" w:space="0" w:color="auto"/>
              <w:left w:val="dotted" w:sz="4" w:space="0" w:color="auto"/>
              <w:bottom w:val="dotted" w:sz="4" w:space="0" w:color="auto"/>
              <w:right w:val="dotted" w:sz="4" w:space="0" w:color="auto"/>
            </w:tcBorders>
            <w:noWrap/>
            <w:vAlign w:val="center"/>
          </w:tcPr>
          <w:p w:rsidR="00BA6838" w:rsidRPr="00195F37" w:rsidRDefault="00BA6838" w:rsidP="009602A4">
            <w:pPr>
              <w:rPr>
                <w:rFonts w:asciiTheme="majorHAnsi" w:hAnsiTheme="majorHAnsi"/>
                <w:color w:val="000000"/>
              </w:rPr>
            </w:pPr>
            <w:r w:rsidRPr="00195F37">
              <w:rPr>
                <w:rFonts w:asciiTheme="majorHAnsi" w:hAnsiTheme="majorHAnsi"/>
                <w:color w:val="000000"/>
              </w:rPr>
              <w:t>Index des Assurances</w:t>
            </w:r>
          </w:p>
        </w:tc>
        <w:tc>
          <w:tcPr>
            <w:tcW w:w="1276" w:type="dxa"/>
            <w:tcBorders>
              <w:top w:val="dotted" w:sz="4" w:space="0" w:color="auto"/>
              <w:left w:val="dotted" w:sz="4" w:space="0" w:color="auto"/>
              <w:bottom w:val="dotted" w:sz="4" w:space="0" w:color="auto"/>
              <w:right w:val="dotted" w:sz="4" w:space="0" w:color="auto"/>
            </w:tcBorders>
            <w:noWrap/>
            <w:vAlign w:val="center"/>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103,63</w:t>
            </w:r>
          </w:p>
        </w:tc>
        <w:tc>
          <w:tcPr>
            <w:tcW w:w="1309" w:type="dxa"/>
            <w:tcBorders>
              <w:top w:val="dotted" w:sz="4" w:space="0" w:color="auto"/>
              <w:left w:val="dotted" w:sz="4" w:space="0" w:color="auto"/>
              <w:bottom w:val="dotted" w:sz="4" w:space="0" w:color="auto"/>
              <w:right w:val="dotted" w:sz="4" w:space="0" w:color="auto"/>
            </w:tcBorders>
            <w:noWrap/>
            <w:vAlign w:val="center"/>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0,6</w:t>
            </w:r>
          </w:p>
        </w:tc>
        <w:tc>
          <w:tcPr>
            <w:tcW w:w="1384" w:type="dxa"/>
            <w:tcBorders>
              <w:top w:val="dotted" w:sz="4" w:space="0" w:color="auto"/>
              <w:left w:val="dotted" w:sz="4" w:space="0" w:color="auto"/>
              <w:bottom w:val="dotted" w:sz="4" w:space="0" w:color="auto"/>
              <w:right w:val="dotted" w:sz="4" w:space="0" w:color="auto"/>
            </w:tcBorders>
            <w:noWrap/>
            <w:vAlign w:val="center"/>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-0,3</w:t>
            </w:r>
          </w:p>
        </w:tc>
      </w:tr>
      <w:tr w:rsidR="00BA6838" w:rsidRPr="00195F37" w:rsidTr="009602A4">
        <w:trPr>
          <w:trHeight w:val="315"/>
        </w:trPr>
        <w:tc>
          <w:tcPr>
            <w:tcW w:w="5665" w:type="dxa"/>
            <w:tcBorders>
              <w:top w:val="dotted" w:sz="4" w:space="0" w:color="auto"/>
              <w:left w:val="dotted" w:sz="4" w:space="0" w:color="auto"/>
              <w:bottom w:val="dotted" w:sz="4" w:space="0" w:color="auto"/>
              <w:right w:val="dotted" w:sz="4" w:space="0" w:color="auto"/>
            </w:tcBorders>
            <w:noWrap/>
            <w:vAlign w:val="center"/>
          </w:tcPr>
          <w:p w:rsidR="00BA6838" w:rsidRPr="00195F37" w:rsidRDefault="00BA6838" w:rsidP="009602A4">
            <w:pPr>
              <w:rPr>
                <w:rFonts w:asciiTheme="majorHAnsi" w:hAnsiTheme="majorHAnsi"/>
                <w:color w:val="000000"/>
              </w:rPr>
            </w:pPr>
            <w:r w:rsidRPr="00195F37">
              <w:rPr>
                <w:rFonts w:asciiTheme="majorHAnsi" w:hAnsiTheme="majorHAnsi"/>
                <w:color w:val="000000"/>
              </w:rPr>
              <w:t>Index du Transport Aérien International</w:t>
            </w:r>
          </w:p>
        </w:tc>
        <w:tc>
          <w:tcPr>
            <w:tcW w:w="1276" w:type="dxa"/>
            <w:tcBorders>
              <w:top w:val="dotted" w:sz="4" w:space="0" w:color="auto"/>
              <w:left w:val="dotted" w:sz="4" w:space="0" w:color="auto"/>
              <w:bottom w:val="dotted" w:sz="4" w:space="0" w:color="auto"/>
              <w:right w:val="dotted" w:sz="4" w:space="0" w:color="auto"/>
            </w:tcBorders>
            <w:noWrap/>
            <w:vAlign w:val="center"/>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94,38</w:t>
            </w:r>
          </w:p>
        </w:tc>
        <w:tc>
          <w:tcPr>
            <w:tcW w:w="1309" w:type="dxa"/>
            <w:tcBorders>
              <w:top w:val="dotted" w:sz="4" w:space="0" w:color="auto"/>
              <w:left w:val="dotted" w:sz="4" w:space="0" w:color="auto"/>
              <w:bottom w:val="dotted" w:sz="4" w:space="0" w:color="auto"/>
              <w:right w:val="dotted" w:sz="4" w:space="0" w:color="auto"/>
            </w:tcBorders>
            <w:noWrap/>
            <w:vAlign w:val="center"/>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w:t>
            </w:r>
          </w:p>
        </w:tc>
        <w:tc>
          <w:tcPr>
            <w:tcW w:w="1384" w:type="dxa"/>
            <w:tcBorders>
              <w:top w:val="dotted" w:sz="4" w:space="0" w:color="auto"/>
              <w:left w:val="dotted" w:sz="4" w:space="0" w:color="auto"/>
              <w:bottom w:val="dotted" w:sz="4" w:space="0" w:color="auto"/>
              <w:right w:val="dotted" w:sz="4" w:space="0" w:color="auto"/>
            </w:tcBorders>
            <w:noWrap/>
            <w:vAlign w:val="center"/>
          </w:tcPr>
          <w:p w:rsidR="00BA6838" w:rsidRPr="00195F37" w:rsidRDefault="00BA6838" w:rsidP="009602A4">
            <w:pPr>
              <w:jc w:val="center"/>
              <w:rPr>
                <w:rFonts w:asciiTheme="majorHAnsi" w:hAnsiTheme="majorHAnsi"/>
                <w:color w:val="000000"/>
              </w:rPr>
            </w:pPr>
            <w:r w:rsidRPr="00195F37">
              <w:rPr>
                <w:rFonts w:asciiTheme="majorHAnsi" w:hAnsiTheme="majorHAnsi"/>
                <w:color w:val="000000"/>
              </w:rPr>
              <w:t>-4,1</w:t>
            </w:r>
          </w:p>
        </w:tc>
      </w:tr>
    </w:tbl>
    <w:p w:rsidR="00BA6838" w:rsidRDefault="00BA6838" w:rsidP="00BA6838">
      <w:pPr>
        <w:pStyle w:val="-LettreTexteGEDA"/>
        <w:spacing w:before="0"/>
        <w:ind w:firstLine="0"/>
        <w:jc w:val="center"/>
        <w:rPr>
          <w:b/>
          <w:noProof w:val="0"/>
        </w:rPr>
      </w:pPr>
    </w:p>
    <w:p w:rsidR="00BA6838" w:rsidRPr="002C1E1A" w:rsidRDefault="00BA6838" w:rsidP="00BA6838">
      <w:pPr>
        <w:pStyle w:val="-LettreTexteGEDA"/>
        <w:ind w:firstLine="0"/>
        <w:rPr>
          <w:rFonts w:asciiTheme="majorHAnsi" w:hAnsiTheme="majorHAnsi"/>
        </w:rPr>
      </w:pPr>
    </w:p>
    <w:p w:rsidR="00E30A66" w:rsidRPr="00894690" w:rsidRDefault="00E30A66" w:rsidP="00E30A66">
      <w:pPr>
        <w:pStyle w:val="-LettreTexteGEDA"/>
        <w:ind w:firstLine="0"/>
        <w:rPr>
          <w:rFonts w:ascii="Cambria" w:hAnsi="Cambria"/>
          <w:b/>
        </w:rPr>
      </w:pPr>
      <w:r w:rsidRPr="00894690">
        <w:rPr>
          <w:rFonts w:ascii="Cambria" w:hAnsi="Cambria"/>
          <w:b/>
          <w:bCs/>
          <w:noProof w:val="0"/>
        </w:rPr>
        <w:t xml:space="preserve">Organisation de la première édition des </w:t>
      </w:r>
      <w:r>
        <w:rPr>
          <w:rFonts w:ascii="Cambria" w:hAnsi="Cambria"/>
          <w:b/>
          <w:bCs/>
          <w:noProof w:val="0"/>
        </w:rPr>
        <w:t>R</w:t>
      </w:r>
      <w:r w:rsidRPr="00894690">
        <w:rPr>
          <w:rFonts w:ascii="Cambria" w:hAnsi="Cambria"/>
          <w:b/>
          <w:bCs/>
          <w:noProof w:val="0"/>
        </w:rPr>
        <w:t>endez-vous du monde du travail</w:t>
      </w:r>
    </w:p>
    <w:p w:rsidR="00E30A66" w:rsidRDefault="00E30A66" w:rsidP="00E30A66">
      <w:pPr>
        <w:pStyle w:val="-LettreTexteGEDA"/>
        <w:ind w:firstLine="0"/>
        <w:rPr>
          <w:rFonts w:ascii="Cambria" w:hAnsi="Cambria"/>
          <w:b/>
        </w:rPr>
      </w:pPr>
    </w:p>
    <w:p w:rsidR="00E30A66" w:rsidRPr="00894690" w:rsidRDefault="00E30A66" w:rsidP="00E30A66">
      <w:pPr>
        <w:pStyle w:val="-LettreTexteGEDA"/>
        <w:ind w:firstLine="0"/>
        <w:rPr>
          <w:rFonts w:ascii="Cambria" w:hAnsi="Cambria"/>
        </w:rPr>
      </w:pPr>
      <w:r w:rsidRPr="00894690">
        <w:rPr>
          <w:rFonts w:ascii="Cambria" w:hAnsi="Cambria"/>
        </w:rPr>
        <w:t>La Direction du travail organise le jeudi 26 mars</w:t>
      </w:r>
      <w:r>
        <w:rPr>
          <w:rFonts w:ascii="Cambria" w:hAnsi="Cambria"/>
        </w:rPr>
        <w:t xml:space="preserve"> prochain</w:t>
      </w:r>
      <w:r w:rsidRPr="00894690">
        <w:rPr>
          <w:rFonts w:ascii="Cambria" w:hAnsi="Cambria"/>
        </w:rPr>
        <w:t xml:space="preserve">, en collaboration avec l’Université de la Polynésie française, une première édition des « RDV du monde du travail » destinée aux partenaires sociaux, représentants des organisations salariales, représentants des organisations patronales et membres des institutions représentatives du personnel (délégué du personnel, délégué syndical, membre du comité d’entreprise). </w:t>
      </w:r>
    </w:p>
    <w:p w:rsidR="00E30A66" w:rsidRPr="00894690" w:rsidRDefault="00E30A66" w:rsidP="00E30A66">
      <w:pPr>
        <w:pStyle w:val="-LettreTexteGEDA"/>
        <w:ind w:firstLine="0"/>
        <w:rPr>
          <w:rFonts w:ascii="Cambria" w:hAnsi="Cambria"/>
        </w:rPr>
      </w:pPr>
      <w:r w:rsidRPr="00894690">
        <w:rPr>
          <w:rFonts w:ascii="Cambria" w:hAnsi="Cambria"/>
        </w:rPr>
        <w:t>Le thème retenu pour cette première édition est celui de la lutte contre le travail illégal : « Économie cachée, travail illégal : enjeux économiques et sociaux ».</w:t>
      </w:r>
      <w:r>
        <w:rPr>
          <w:rFonts w:ascii="Cambria" w:hAnsi="Cambria"/>
        </w:rPr>
        <w:t xml:space="preserve"> </w:t>
      </w:r>
      <w:r w:rsidRPr="00894690">
        <w:rPr>
          <w:rFonts w:ascii="Cambria" w:hAnsi="Cambria"/>
        </w:rPr>
        <w:t xml:space="preserve">La lutte contre le travail illégal fait partie des domaines d’intervention de la Direction du travail.  A côté des formes classiques de travail illégal (absence totale de déclaration de l’activité ou du salarié ou dissimulation d’une partie des heures travaillées), se sont aussi développées des pratiques consistant pour un employeur à imposer aux personnes qu’il embauche de se déclarer en tant que « patenté » alors même qu’elles travaillent dans un lien de subordination total vis-à-vis de cet employeur. </w:t>
      </w:r>
    </w:p>
    <w:p w:rsidR="00E30A66" w:rsidRPr="00894690" w:rsidRDefault="00E30A66" w:rsidP="00E30A66">
      <w:pPr>
        <w:pStyle w:val="-LettreTexteGEDA"/>
        <w:ind w:firstLine="0"/>
        <w:rPr>
          <w:rFonts w:ascii="Cambria" w:hAnsi="Cambria"/>
        </w:rPr>
      </w:pPr>
      <w:r w:rsidRPr="00894690">
        <w:rPr>
          <w:rFonts w:ascii="Cambria" w:hAnsi="Cambria"/>
        </w:rPr>
        <w:t>Force est de constater que le travail illégal porte préjudice tant aux salariés concernés, qu’aux entreprises et à l’ensemble de l</w:t>
      </w:r>
      <w:r>
        <w:rPr>
          <w:rFonts w:ascii="Cambria" w:hAnsi="Cambria"/>
        </w:rPr>
        <w:t>a collectivité dès lors qu’il </w:t>
      </w:r>
      <w:r w:rsidRPr="00894690">
        <w:rPr>
          <w:rFonts w:ascii="Cambria" w:hAnsi="Cambria"/>
        </w:rPr>
        <w:t>prive les salariés des droits que leur recon</w:t>
      </w:r>
      <w:r>
        <w:rPr>
          <w:rFonts w:ascii="Cambria" w:hAnsi="Cambria"/>
        </w:rPr>
        <w:t xml:space="preserve">naît le code du travail, </w:t>
      </w:r>
      <w:r w:rsidRPr="00894690">
        <w:rPr>
          <w:rFonts w:ascii="Cambria" w:hAnsi="Cambria"/>
        </w:rPr>
        <w:t>permet aux employeurs, auteurs de cette infraction, de pratiquer de la concurrence déloyale à l’égard des entr</w:t>
      </w:r>
      <w:r>
        <w:rPr>
          <w:rFonts w:ascii="Cambria" w:hAnsi="Cambria"/>
        </w:rPr>
        <w:t xml:space="preserve">eprises respectueuses du droit et </w:t>
      </w:r>
      <w:r w:rsidRPr="00894690">
        <w:rPr>
          <w:rFonts w:ascii="Cambria" w:hAnsi="Cambria"/>
        </w:rPr>
        <w:t xml:space="preserve">met en péril le système de protection sociale en privant la Caisse de Prévoyance Sociale des cotisations sociales afférentes aux emplois ainsi dissimulés, etc. </w:t>
      </w:r>
    </w:p>
    <w:p w:rsidR="00E30A66" w:rsidRPr="00894690" w:rsidRDefault="00E30A66" w:rsidP="00E30A66">
      <w:pPr>
        <w:pStyle w:val="-LettreTexteGEDA"/>
        <w:ind w:firstLine="0"/>
        <w:rPr>
          <w:rFonts w:ascii="Cambria" w:hAnsi="Cambria"/>
        </w:rPr>
      </w:pPr>
      <w:r w:rsidRPr="00894690">
        <w:rPr>
          <w:rFonts w:ascii="Cambria" w:hAnsi="Cambria"/>
        </w:rPr>
        <w:t>Contrairement à l’utilisation légale de la patente, le recours aux « faux patentés » ne crée pas d’emploi mais conduit à une substitution d’emplois salariés par des emplois non salariés.</w:t>
      </w:r>
    </w:p>
    <w:p w:rsidR="00E30A66" w:rsidRPr="00894690" w:rsidRDefault="00E30A66" w:rsidP="00E30A66">
      <w:pPr>
        <w:pStyle w:val="-LettreTexteGEDA"/>
        <w:ind w:firstLine="0"/>
        <w:rPr>
          <w:rFonts w:ascii="Cambria" w:hAnsi="Cambria"/>
        </w:rPr>
      </w:pPr>
      <w:r w:rsidRPr="00894690">
        <w:rPr>
          <w:rFonts w:ascii="Cambria" w:hAnsi="Cambria"/>
        </w:rPr>
        <w:t>Pour y faire face, la Direction du travail a élaboré les outils juridiques permettant aux différents services de contrôle de lutter contre le travail illégal. Depuis 2017, elle a proposé plusieurs adaptations de ces outils pour faciliter l’action des services et s’adapter aux évolutions des formes de fraude. Pour exemple, le Comité opérationnel de lutte contre le travail illégal (COLTI), présidé par le procureur de la République, réunit ainsi trimestriellement les différents services de contrôle chargés de la lutte contre le travail illégal (Direction du travail, CPS, DICP, Gendarmerie, mais aussi DSP, PAF, etc).</w:t>
      </w:r>
    </w:p>
    <w:p w:rsidR="00E30A66" w:rsidRPr="00894690" w:rsidRDefault="00E30A66" w:rsidP="00E30A66">
      <w:pPr>
        <w:pStyle w:val="-LettreTexteGEDA"/>
        <w:ind w:firstLine="0"/>
        <w:rPr>
          <w:rFonts w:ascii="Cambria" w:hAnsi="Cambria"/>
        </w:rPr>
      </w:pPr>
      <w:r w:rsidRPr="00894690">
        <w:rPr>
          <w:rFonts w:ascii="Cambria" w:hAnsi="Cambria"/>
        </w:rPr>
        <w:t>Compte tenu des enjeux économiques et sociaux, il apparaît donc indispensable de sensibiliser les partenaires sociaux.</w:t>
      </w:r>
      <w:r>
        <w:rPr>
          <w:rFonts w:ascii="Cambria" w:hAnsi="Cambria"/>
        </w:rPr>
        <w:t xml:space="preserve"> </w:t>
      </w:r>
      <w:r w:rsidRPr="00894690">
        <w:rPr>
          <w:rFonts w:ascii="Cambria" w:hAnsi="Cambria"/>
        </w:rPr>
        <w:t xml:space="preserve">L’objectif de cet évènement est d’une part, de </w:t>
      </w:r>
      <w:r w:rsidRPr="00894690">
        <w:rPr>
          <w:rFonts w:ascii="Cambria" w:hAnsi="Cambria"/>
        </w:rPr>
        <w:lastRenderedPageBreak/>
        <w:t xml:space="preserve">développer une meilleure communication  sur le sujet et de porter à la connaissance des entreprises, travailleurs, institutions représentatives du personnel, les conséquences graves du travail illégal ainsi que les règles et sanctions applicables en la matière. </w:t>
      </w:r>
    </w:p>
    <w:p w:rsidR="00E30A66" w:rsidRPr="00894690" w:rsidRDefault="00E30A66" w:rsidP="00E30A66">
      <w:pPr>
        <w:pStyle w:val="-LettreTexteGEDA"/>
        <w:ind w:firstLine="0"/>
        <w:rPr>
          <w:rFonts w:ascii="Cambria" w:hAnsi="Cambria"/>
        </w:rPr>
      </w:pPr>
      <w:r w:rsidRPr="00894690">
        <w:rPr>
          <w:rFonts w:ascii="Cambria" w:hAnsi="Cambria"/>
        </w:rPr>
        <w:t>D’autre part, l’objectif est aussi de créer une dynamique de dialogue social en accompagnant les partenaires sociaux, en leur permettant d’approfondir et de compléter leurs connaissances en matière de droit du travail, en économie, en relations sociales, aux problématiques importantes de la société, afin de leur permettre de mieux exercer leurs missions et leurs responsabilités et ainsi de contribuer à l’amélioration des relations sociales au sein des entreprises ou instances représentatives.</w:t>
      </w:r>
    </w:p>
    <w:p w:rsidR="00E30A66" w:rsidRPr="00894690" w:rsidRDefault="00E30A66" w:rsidP="00E30A66">
      <w:pPr>
        <w:pStyle w:val="-LettreTexteGEDA"/>
        <w:ind w:firstLine="0"/>
        <w:rPr>
          <w:rFonts w:ascii="Cambria" w:hAnsi="Cambria"/>
        </w:rPr>
      </w:pPr>
      <w:r>
        <w:rPr>
          <w:rFonts w:ascii="Cambria" w:hAnsi="Cambria"/>
        </w:rPr>
        <w:t>La</w:t>
      </w:r>
      <w:r w:rsidRPr="00894690">
        <w:rPr>
          <w:rFonts w:ascii="Cambria" w:hAnsi="Cambria"/>
        </w:rPr>
        <w:t xml:space="preserve"> matinée </w:t>
      </w:r>
      <w:r>
        <w:rPr>
          <w:rFonts w:ascii="Cambria" w:hAnsi="Cambria"/>
        </w:rPr>
        <w:t xml:space="preserve">des « RDV du monde du travail » se déroulera </w:t>
      </w:r>
      <w:r w:rsidRPr="00894690">
        <w:rPr>
          <w:rFonts w:ascii="Cambria" w:hAnsi="Cambria"/>
        </w:rPr>
        <w:t>à l’Université de la Polynésie française</w:t>
      </w:r>
      <w:r>
        <w:rPr>
          <w:rFonts w:ascii="Cambria" w:hAnsi="Cambria"/>
        </w:rPr>
        <w:t>. Elle</w:t>
      </w:r>
      <w:r w:rsidRPr="00894690">
        <w:rPr>
          <w:rFonts w:ascii="Cambria" w:hAnsi="Cambria"/>
        </w:rPr>
        <w:t xml:space="preserve"> sera ouverte à plus de 250 invités, partenaires sociaux, tant représentants des salariés que représentants d’employeurs. </w:t>
      </w:r>
    </w:p>
    <w:p w:rsidR="00E30A66" w:rsidRDefault="00E30A66" w:rsidP="00C802A3">
      <w:pPr>
        <w:rPr>
          <w:rFonts w:ascii="Cambria" w:hAnsi="Cambria"/>
          <w:b/>
          <w:bCs/>
        </w:rPr>
      </w:pPr>
    </w:p>
    <w:p w:rsidR="00EA6656" w:rsidRDefault="00EA6656" w:rsidP="00EA6656">
      <w:pPr>
        <w:pStyle w:val="-LettreObjetGEDA"/>
        <w:tabs>
          <w:tab w:val="left" w:pos="709"/>
        </w:tabs>
        <w:spacing w:before="0"/>
        <w:ind w:left="0" w:firstLine="0"/>
        <w:rPr>
          <w:rFonts w:asciiTheme="majorHAnsi" w:hAnsiTheme="majorHAnsi"/>
          <w:b/>
        </w:rPr>
      </w:pPr>
    </w:p>
    <w:p w:rsidR="00EA6656" w:rsidRPr="00C802A3" w:rsidRDefault="00EA6656" w:rsidP="00EA6656">
      <w:pPr>
        <w:pStyle w:val="-LettreObjetGEDA"/>
        <w:tabs>
          <w:tab w:val="left" w:pos="709"/>
        </w:tabs>
        <w:spacing w:before="0"/>
        <w:ind w:left="0" w:firstLine="0"/>
        <w:rPr>
          <w:rFonts w:asciiTheme="majorHAnsi" w:hAnsiTheme="majorHAnsi"/>
          <w:b/>
        </w:rPr>
      </w:pPr>
      <w:r w:rsidRPr="00C802A3">
        <w:rPr>
          <w:rFonts w:asciiTheme="majorHAnsi" w:hAnsiTheme="majorHAnsi"/>
          <w:b/>
        </w:rPr>
        <w:t>Programme Fi</w:t>
      </w:r>
      <w:r w:rsidR="00E30A66">
        <w:rPr>
          <w:rFonts w:asciiTheme="majorHAnsi" w:hAnsiTheme="majorHAnsi"/>
          <w:b/>
        </w:rPr>
        <w:t>ji Share : renforce</w:t>
      </w:r>
      <w:r w:rsidR="006C2B9B">
        <w:rPr>
          <w:rFonts w:asciiTheme="majorHAnsi" w:hAnsiTheme="majorHAnsi"/>
          <w:b/>
        </w:rPr>
        <w:t xml:space="preserve">r les </w:t>
      </w:r>
      <w:r w:rsidRPr="00C802A3">
        <w:rPr>
          <w:rFonts w:asciiTheme="majorHAnsi" w:hAnsiTheme="majorHAnsi"/>
          <w:b/>
        </w:rPr>
        <w:t xml:space="preserve">capacités de Fidji </w:t>
      </w:r>
      <w:r w:rsidR="006C2B9B">
        <w:rPr>
          <w:rFonts w:asciiTheme="majorHAnsi" w:hAnsiTheme="majorHAnsi"/>
          <w:b/>
        </w:rPr>
        <w:t>pour le</w:t>
      </w:r>
      <w:r w:rsidR="00E30A66">
        <w:rPr>
          <w:rFonts w:asciiTheme="majorHAnsi" w:hAnsiTheme="majorHAnsi"/>
          <w:b/>
        </w:rPr>
        <w:t xml:space="preserve"> diagnostic et</w:t>
      </w:r>
      <w:r w:rsidRPr="00C802A3">
        <w:rPr>
          <w:rFonts w:asciiTheme="majorHAnsi" w:hAnsiTheme="majorHAnsi"/>
          <w:b/>
        </w:rPr>
        <w:t xml:space="preserve"> la surveillance des arboviroses</w:t>
      </w:r>
    </w:p>
    <w:p w:rsidR="00EA6656" w:rsidRPr="00C802A3" w:rsidRDefault="00EA6656" w:rsidP="00EA6656">
      <w:pPr>
        <w:pStyle w:val="-LettreTexteGEDA"/>
        <w:spacing w:before="0"/>
        <w:ind w:firstLine="0"/>
        <w:rPr>
          <w:rFonts w:asciiTheme="majorHAnsi" w:hAnsiTheme="majorHAnsi"/>
          <w:lang w:val="fr-BE"/>
        </w:rPr>
      </w:pPr>
    </w:p>
    <w:p w:rsidR="00EA6656" w:rsidRPr="00C802A3" w:rsidRDefault="00EA6656" w:rsidP="00EA6656">
      <w:pPr>
        <w:pStyle w:val="-LettreTexteGEDA"/>
        <w:ind w:firstLine="0"/>
        <w:rPr>
          <w:rFonts w:asciiTheme="majorHAnsi" w:hAnsiTheme="majorHAnsi"/>
          <w:noProof w:val="0"/>
        </w:rPr>
      </w:pPr>
      <w:r w:rsidRPr="00C802A3">
        <w:rPr>
          <w:rFonts w:asciiTheme="majorHAnsi" w:hAnsiTheme="majorHAnsi"/>
          <w:noProof w:val="0"/>
        </w:rPr>
        <w:t>Le ministre en charge de la recherche a présenté au Conseil des ministres un programme de recherche sur le renforcement des capacités de la République de Fidji au diagnostic et à la surveillance des arboviroses.</w:t>
      </w:r>
    </w:p>
    <w:p w:rsidR="00EA6656" w:rsidRPr="00C802A3" w:rsidRDefault="00EA6656" w:rsidP="00EA6656">
      <w:pPr>
        <w:pStyle w:val="-LettreTexteGEDA"/>
        <w:ind w:firstLine="0"/>
        <w:rPr>
          <w:rFonts w:asciiTheme="majorHAnsi" w:hAnsiTheme="majorHAnsi"/>
          <w:noProof w:val="0"/>
        </w:rPr>
      </w:pPr>
      <w:r w:rsidRPr="00C802A3">
        <w:rPr>
          <w:rFonts w:asciiTheme="majorHAnsi" w:hAnsiTheme="majorHAnsi"/>
          <w:noProof w:val="0"/>
        </w:rPr>
        <w:t>Ce programme dénommé « Fiji Share »</w:t>
      </w:r>
      <w:r w:rsidR="006C2B9B">
        <w:rPr>
          <w:rFonts w:asciiTheme="majorHAnsi" w:hAnsiTheme="majorHAnsi"/>
          <w:noProof w:val="0"/>
        </w:rPr>
        <w:t>,</w:t>
      </w:r>
      <w:r w:rsidRPr="00C802A3">
        <w:rPr>
          <w:rFonts w:asciiTheme="majorHAnsi" w:hAnsiTheme="majorHAnsi"/>
          <w:noProof w:val="0"/>
        </w:rPr>
        <w:t xml:space="preserve"> porté par l’Institut Louis Malardé (ILM)</w:t>
      </w:r>
      <w:r w:rsidR="006C2B9B">
        <w:rPr>
          <w:rFonts w:asciiTheme="majorHAnsi" w:hAnsiTheme="majorHAnsi"/>
          <w:noProof w:val="0"/>
        </w:rPr>
        <w:t>,</w:t>
      </w:r>
      <w:r w:rsidRPr="00C802A3">
        <w:rPr>
          <w:rFonts w:asciiTheme="majorHAnsi" w:hAnsiTheme="majorHAnsi"/>
          <w:noProof w:val="0"/>
        </w:rPr>
        <w:t xml:space="preserve"> bénéficie d’un accompagnement financier de l’Agence Française de Développement au travers de son dispositif « Facilités de financement des collectivités françaises (FICOL) » qui finance directement, sous forme de subventions, des projets identifiés dans des pays en développement et mis en œuvre par des collectivités territoriales françaises. </w:t>
      </w:r>
    </w:p>
    <w:p w:rsidR="00EA6656" w:rsidRPr="00C802A3" w:rsidRDefault="00EA6656" w:rsidP="00EA6656">
      <w:pPr>
        <w:pStyle w:val="-LettreTexteGEDA"/>
        <w:ind w:firstLine="0"/>
        <w:rPr>
          <w:rFonts w:asciiTheme="majorHAnsi" w:hAnsiTheme="majorHAnsi"/>
          <w:noProof w:val="0"/>
        </w:rPr>
      </w:pPr>
      <w:r w:rsidRPr="00C802A3">
        <w:rPr>
          <w:rFonts w:asciiTheme="majorHAnsi" w:hAnsiTheme="majorHAnsi"/>
          <w:noProof w:val="0"/>
        </w:rPr>
        <w:t>Ce programme sera mené avec le ministère de la Santé fidjien</w:t>
      </w:r>
      <w:r w:rsidR="006C2B9B">
        <w:rPr>
          <w:rFonts w:asciiTheme="majorHAnsi" w:hAnsiTheme="majorHAnsi"/>
          <w:noProof w:val="0"/>
        </w:rPr>
        <w:t>,</w:t>
      </w:r>
      <w:r w:rsidRPr="00C802A3">
        <w:rPr>
          <w:rFonts w:asciiTheme="majorHAnsi" w:hAnsiTheme="majorHAnsi"/>
          <w:noProof w:val="0"/>
        </w:rPr>
        <w:t xml:space="preserve"> avec lequel l’ILM collabore depuis déjà 8 années.</w:t>
      </w:r>
      <w:r w:rsidR="006C2B9B">
        <w:rPr>
          <w:rFonts w:asciiTheme="majorHAnsi" w:hAnsiTheme="majorHAnsi"/>
          <w:noProof w:val="0"/>
        </w:rPr>
        <w:t xml:space="preserve"> </w:t>
      </w:r>
      <w:r w:rsidRPr="00C802A3">
        <w:rPr>
          <w:rFonts w:asciiTheme="majorHAnsi" w:hAnsiTheme="majorHAnsi"/>
          <w:noProof w:val="0"/>
        </w:rPr>
        <w:t>Il s'inscrit dans la continuité des programmes développés par l'ILM en collaboration avec ses partenaires régionaux, notamment au titre du Réseau océanien de surveillance de la santé publique (ROSSP), animé par la Communauté du Pacifique et l’Organisation mondiale de la santé.</w:t>
      </w:r>
    </w:p>
    <w:p w:rsidR="00EA6656" w:rsidRPr="00C802A3" w:rsidRDefault="00EA6656" w:rsidP="00EA6656">
      <w:pPr>
        <w:pStyle w:val="-LettreTexteGEDA"/>
        <w:ind w:firstLine="0"/>
        <w:rPr>
          <w:rFonts w:asciiTheme="majorHAnsi" w:hAnsiTheme="majorHAnsi"/>
          <w:noProof w:val="0"/>
        </w:rPr>
      </w:pPr>
      <w:r w:rsidRPr="00C802A3">
        <w:rPr>
          <w:rFonts w:asciiTheme="majorHAnsi" w:hAnsiTheme="majorHAnsi"/>
          <w:noProof w:val="0"/>
        </w:rPr>
        <w:t>Déployé sur 3 ans, il comprend quatre phases :</w:t>
      </w:r>
    </w:p>
    <w:p w:rsidR="00EA6656" w:rsidRPr="00C802A3" w:rsidRDefault="00EA6656" w:rsidP="00EA6656">
      <w:pPr>
        <w:pStyle w:val="-LettreTexteGEDA"/>
        <w:numPr>
          <w:ilvl w:val="0"/>
          <w:numId w:val="11"/>
        </w:numPr>
        <w:textAlignment w:val="auto"/>
        <w:rPr>
          <w:rFonts w:asciiTheme="majorHAnsi" w:hAnsiTheme="majorHAnsi"/>
          <w:noProof w:val="0"/>
        </w:rPr>
      </w:pPr>
      <w:r w:rsidRPr="00C802A3">
        <w:rPr>
          <w:rFonts w:asciiTheme="majorHAnsi" w:hAnsiTheme="majorHAnsi"/>
          <w:noProof w:val="0"/>
        </w:rPr>
        <w:t>Etat des lieux des ressources et des compétences existantes au sein du laboratoire fidjien en matière de diagnostic, de surveillance et de capacité de recherche sur les arboviroses ;</w:t>
      </w:r>
    </w:p>
    <w:p w:rsidR="00EA6656" w:rsidRPr="00C802A3" w:rsidRDefault="00EA6656" w:rsidP="00EA6656">
      <w:pPr>
        <w:pStyle w:val="-LettreTexteGEDA"/>
        <w:numPr>
          <w:ilvl w:val="0"/>
          <w:numId w:val="11"/>
        </w:numPr>
        <w:textAlignment w:val="auto"/>
        <w:rPr>
          <w:rFonts w:asciiTheme="majorHAnsi" w:hAnsiTheme="majorHAnsi"/>
          <w:noProof w:val="0"/>
        </w:rPr>
      </w:pPr>
      <w:r w:rsidRPr="00C802A3">
        <w:rPr>
          <w:rFonts w:asciiTheme="majorHAnsi" w:hAnsiTheme="majorHAnsi"/>
          <w:noProof w:val="0"/>
        </w:rPr>
        <w:t>Formation du personnel fidjien sur le plateau technique de l’ILM ;</w:t>
      </w:r>
    </w:p>
    <w:p w:rsidR="00EA6656" w:rsidRPr="00C802A3" w:rsidRDefault="00EA6656" w:rsidP="00EA6656">
      <w:pPr>
        <w:pStyle w:val="-LettreTexteGEDA"/>
        <w:numPr>
          <w:ilvl w:val="0"/>
          <w:numId w:val="11"/>
        </w:numPr>
        <w:textAlignment w:val="auto"/>
        <w:rPr>
          <w:rFonts w:asciiTheme="majorHAnsi" w:hAnsiTheme="majorHAnsi"/>
          <w:noProof w:val="0"/>
        </w:rPr>
      </w:pPr>
      <w:r w:rsidRPr="00C802A3">
        <w:rPr>
          <w:rFonts w:asciiTheme="majorHAnsi" w:hAnsiTheme="majorHAnsi"/>
          <w:noProof w:val="0"/>
        </w:rPr>
        <w:t>Mise en place des nouvelles techniques sur le plateau technique de Fidji ;</w:t>
      </w:r>
    </w:p>
    <w:p w:rsidR="00EA6656" w:rsidRPr="00C802A3" w:rsidRDefault="00EA6656" w:rsidP="00EA6656">
      <w:pPr>
        <w:pStyle w:val="-LettreTexteGEDA"/>
        <w:numPr>
          <w:ilvl w:val="0"/>
          <w:numId w:val="11"/>
        </w:numPr>
        <w:textAlignment w:val="auto"/>
        <w:rPr>
          <w:rFonts w:asciiTheme="majorHAnsi" w:hAnsiTheme="majorHAnsi"/>
          <w:noProof w:val="0"/>
        </w:rPr>
      </w:pPr>
      <w:r w:rsidRPr="00C802A3">
        <w:rPr>
          <w:rFonts w:asciiTheme="majorHAnsi" w:hAnsiTheme="majorHAnsi"/>
          <w:noProof w:val="0"/>
        </w:rPr>
        <w:t>Expertise de l’ILM sur le site de Fidji et autonomisation du laboratoire fidjien pour la réalisation des activités de diagnostic, de surveillance et de recherche opérationnelle.</w:t>
      </w:r>
    </w:p>
    <w:p w:rsidR="00EA6656" w:rsidRDefault="00EA6656" w:rsidP="00EA6656">
      <w:pPr>
        <w:pStyle w:val="-LettreTexteGEDA"/>
        <w:ind w:firstLine="0"/>
        <w:rPr>
          <w:rFonts w:asciiTheme="majorHAnsi" w:hAnsiTheme="majorHAnsi"/>
          <w:noProof w:val="0"/>
        </w:rPr>
      </w:pPr>
      <w:r w:rsidRPr="00C802A3">
        <w:rPr>
          <w:rFonts w:asciiTheme="majorHAnsi" w:hAnsiTheme="majorHAnsi"/>
          <w:noProof w:val="0"/>
        </w:rPr>
        <w:t>Le coût globa</w:t>
      </w:r>
      <w:r>
        <w:rPr>
          <w:rFonts w:asciiTheme="majorHAnsi" w:hAnsiTheme="majorHAnsi"/>
          <w:noProof w:val="0"/>
        </w:rPr>
        <w:t>l du projet est évalué à 146,8 millions Fcfp</w:t>
      </w:r>
      <w:r w:rsidRPr="00C802A3">
        <w:rPr>
          <w:rFonts w:asciiTheme="majorHAnsi" w:hAnsiTheme="majorHAnsi"/>
          <w:noProof w:val="0"/>
        </w:rPr>
        <w:t xml:space="preserve"> avec une participation </w:t>
      </w:r>
      <w:r>
        <w:rPr>
          <w:rFonts w:asciiTheme="majorHAnsi" w:hAnsiTheme="majorHAnsi"/>
          <w:noProof w:val="0"/>
        </w:rPr>
        <w:t>de l’Agence Française de Développement (AFD) à hauteur de 81,8 millions Fcfp</w:t>
      </w:r>
      <w:r w:rsidRPr="00C802A3">
        <w:rPr>
          <w:rFonts w:asciiTheme="majorHAnsi" w:hAnsiTheme="majorHAnsi"/>
          <w:noProof w:val="0"/>
        </w:rPr>
        <w:t>. Le projet est supporté, par ailleurs, en fonds propres par la Polynésie française au travers de l'ILM pour un montant de 56,6 </w:t>
      </w:r>
      <w:r>
        <w:rPr>
          <w:rFonts w:asciiTheme="majorHAnsi" w:hAnsiTheme="majorHAnsi"/>
          <w:noProof w:val="0"/>
        </w:rPr>
        <w:t>millions Fcfp</w:t>
      </w:r>
      <w:r w:rsidRPr="00C802A3">
        <w:rPr>
          <w:rFonts w:asciiTheme="majorHAnsi" w:hAnsiTheme="majorHAnsi"/>
          <w:noProof w:val="0"/>
        </w:rPr>
        <w:t xml:space="preserve"> et par la République de Fidji à hauteur de 8,3 </w:t>
      </w:r>
      <w:r>
        <w:rPr>
          <w:rFonts w:asciiTheme="majorHAnsi" w:hAnsiTheme="majorHAnsi"/>
          <w:noProof w:val="0"/>
        </w:rPr>
        <w:t xml:space="preserve">millions </w:t>
      </w:r>
      <w:r>
        <w:rPr>
          <w:rFonts w:asciiTheme="majorHAnsi" w:hAnsiTheme="majorHAnsi"/>
          <w:noProof w:val="0"/>
        </w:rPr>
        <w:lastRenderedPageBreak/>
        <w:t>Fcfp</w:t>
      </w:r>
      <w:r w:rsidR="006C2B9B">
        <w:rPr>
          <w:rFonts w:asciiTheme="majorHAnsi" w:hAnsiTheme="majorHAnsi"/>
          <w:noProof w:val="0"/>
        </w:rPr>
        <w:t xml:space="preserve">. </w:t>
      </w:r>
      <w:r w:rsidRPr="00C802A3">
        <w:rPr>
          <w:rFonts w:asciiTheme="majorHAnsi" w:hAnsiTheme="majorHAnsi"/>
          <w:noProof w:val="0"/>
        </w:rPr>
        <w:t>Ce programme est l’expression de la volonté de la Polynésie française de participer ple</w:t>
      </w:r>
      <w:r w:rsidR="006C2B9B">
        <w:rPr>
          <w:rFonts w:asciiTheme="majorHAnsi" w:hAnsiTheme="majorHAnsi"/>
          <w:noProof w:val="0"/>
        </w:rPr>
        <w:t>inement aux enjeux de recherche et de développement, en</w:t>
      </w:r>
      <w:r w:rsidRPr="00C802A3">
        <w:rPr>
          <w:rFonts w:asciiTheme="majorHAnsi" w:hAnsiTheme="majorHAnsi"/>
          <w:noProof w:val="0"/>
        </w:rPr>
        <w:t xml:space="preserve"> collaboration avec </w:t>
      </w:r>
      <w:r w:rsidR="00E30A66">
        <w:rPr>
          <w:rFonts w:asciiTheme="majorHAnsi" w:hAnsiTheme="majorHAnsi"/>
          <w:noProof w:val="0"/>
        </w:rPr>
        <w:t>les pays et états de la région P</w:t>
      </w:r>
      <w:r w:rsidRPr="00C802A3">
        <w:rPr>
          <w:rFonts w:asciiTheme="majorHAnsi" w:hAnsiTheme="majorHAnsi"/>
          <w:noProof w:val="0"/>
        </w:rPr>
        <w:t>acifique.</w:t>
      </w:r>
    </w:p>
    <w:p w:rsidR="00E30A66" w:rsidRDefault="00E30A66" w:rsidP="00EA6656">
      <w:pPr>
        <w:pStyle w:val="-LettreTexteGEDA"/>
        <w:ind w:firstLine="0"/>
        <w:rPr>
          <w:rFonts w:asciiTheme="majorHAnsi" w:hAnsiTheme="majorHAnsi"/>
          <w:noProof w:val="0"/>
        </w:rPr>
      </w:pPr>
    </w:p>
    <w:p w:rsidR="00E30A66" w:rsidRPr="00894690" w:rsidRDefault="00E30A66" w:rsidP="00E30A66">
      <w:pPr>
        <w:pStyle w:val="-LettreTexteGEDA"/>
        <w:ind w:firstLine="0"/>
        <w:rPr>
          <w:rFonts w:ascii="Cambria" w:hAnsi="Cambria"/>
          <w:b/>
          <w:noProof w:val="0"/>
        </w:rPr>
      </w:pPr>
      <w:r w:rsidRPr="00894690">
        <w:rPr>
          <w:rFonts w:ascii="Cambria" w:hAnsi="Cambria"/>
          <w:b/>
          <w:noProof w:val="0"/>
        </w:rPr>
        <w:t>Autorisation d’ouverture au titre de l’année 2020 de concours de la fonction publique de la Polynésie française</w:t>
      </w:r>
    </w:p>
    <w:p w:rsidR="00E30A66" w:rsidRPr="00894690" w:rsidRDefault="00E30A66" w:rsidP="00E30A66">
      <w:pPr>
        <w:pStyle w:val="-LettreTexteGEDA"/>
        <w:ind w:firstLine="0"/>
        <w:rPr>
          <w:rFonts w:ascii="Cambria" w:hAnsi="Cambria"/>
        </w:rPr>
      </w:pPr>
      <w:r w:rsidRPr="00894690">
        <w:rPr>
          <w:rFonts w:ascii="Cambria" w:hAnsi="Cambria"/>
        </w:rPr>
        <w:t xml:space="preserve">Le Conseil des ministres a </w:t>
      </w:r>
      <w:r w:rsidRPr="00894690">
        <w:rPr>
          <w:rFonts w:ascii="Cambria" w:eastAsia="Calibri" w:hAnsi="Cambria"/>
          <w:lang w:eastAsia="en-US"/>
        </w:rPr>
        <w:t>autorisé l’ouverture, au titre de l’année 2020, des concours mentionnés ci-dessous :</w:t>
      </w:r>
    </w:p>
    <w:p w:rsidR="00E30A66" w:rsidRPr="00894690" w:rsidRDefault="00E30A66" w:rsidP="00E30A66">
      <w:pPr>
        <w:pStyle w:val="NormalWeb"/>
        <w:numPr>
          <w:ilvl w:val="0"/>
          <w:numId w:val="6"/>
        </w:numPr>
        <w:spacing w:before="120" w:beforeAutospacing="0" w:after="0" w:afterAutospacing="0"/>
        <w:jc w:val="both"/>
        <w:rPr>
          <w:rFonts w:ascii="Cambria" w:hAnsi="Cambria"/>
        </w:rPr>
      </w:pPr>
      <w:r w:rsidRPr="00894690">
        <w:rPr>
          <w:rFonts w:ascii="Cambria" w:hAnsi="Cambria"/>
        </w:rPr>
        <w:t xml:space="preserve">Filière administrative et financière : </w:t>
      </w:r>
    </w:p>
    <w:p w:rsidR="00E30A66" w:rsidRPr="00894690" w:rsidRDefault="00E30A66" w:rsidP="00E30A66">
      <w:pPr>
        <w:pStyle w:val="NormalWeb"/>
        <w:numPr>
          <w:ilvl w:val="0"/>
          <w:numId w:val="7"/>
        </w:numPr>
        <w:spacing w:before="120" w:beforeAutospacing="0" w:after="0" w:afterAutospacing="0"/>
        <w:ind w:left="714" w:hanging="357"/>
        <w:rPr>
          <w:rFonts w:ascii="Cambria" w:hAnsi="Cambria"/>
        </w:rPr>
      </w:pPr>
      <w:r w:rsidRPr="00894690">
        <w:rPr>
          <w:rFonts w:ascii="Cambria" w:hAnsi="Cambria"/>
        </w:rPr>
        <w:t xml:space="preserve">catégorie A : attachés d’administration ; </w:t>
      </w:r>
    </w:p>
    <w:p w:rsidR="00E30A66" w:rsidRPr="00894690" w:rsidRDefault="00E30A66" w:rsidP="00E30A66">
      <w:pPr>
        <w:pStyle w:val="NormalWeb"/>
        <w:numPr>
          <w:ilvl w:val="0"/>
          <w:numId w:val="7"/>
        </w:numPr>
        <w:spacing w:before="0" w:beforeAutospacing="0" w:after="0" w:afterAutospacing="0"/>
        <w:ind w:left="714" w:hanging="357"/>
        <w:rPr>
          <w:rFonts w:ascii="Cambria" w:hAnsi="Cambria"/>
        </w:rPr>
      </w:pPr>
      <w:r w:rsidRPr="00894690">
        <w:rPr>
          <w:rFonts w:ascii="Cambria" w:hAnsi="Cambria"/>
        </w:rPr>
        <w:t xml:space="preserve">catégorie C : adjoints administratifs, secrétaires médicaux ; </w:t>
      </w:r>
    </w:p>
    <w:p w:rsidR="00E30A66" w:rsidRPr="00894690" w:rsidRDefault="00E30A66" w:rsidP="00E30A66">
      <w:pPr>
        <w:pStyle w:val="NormalWeb"/>
        <w:numPr>
          <w:ilvl w:val="0"/>
          <w:numId w:val="6"/>
        </w:numPr>
        <w:spacing w:before="120" w:beforeAutospacing="0" w:after="0" w:afterAutospacing="0"/>
        <w:ind w:left="714" w:hanging="357"/>
        <w:rPr>
          <w:rFonts w:ascii="Cambria" w:hAnsi="Cambria"/>
        </w:rPr>
      </w:pPr>
      <w:r w:rsidRPr="00894690">
        <w:rPr>
          <w:rFonts w:ascii="Cambria" w:hAnsi="Cambria"/>
        </w:rPr>
        <w:t xml:space="preserve">Filière technique : </w:t>
      </w:r>
    </w:p>
    <w:p w:rsidR="00E30A66" w:rsidRPr="00894690" w:rsidRDefault="00E30A66" w:rsidP="00E30A66">
      <w:pPr>
        <w:pStyle w:val="NormalWeb"/>
        <w:numPr>
          <w:ilvl w:val="0"/>
          <w:numId w:val="7"/>
        </w:numPr>
        <w:spacing w:before="120" w:beforeAutospacing="0" w:after="0" w:afterAutospacing="0"/>
        <w:rPr>
          <w:rFonts w:ascii="Cambria" w:hAnsi="Cambria"/>
        </w:rPr>
      </w:pPr>
      <w:r w:rsidRPr="00894690">
        <w:rPr>
          <w:rFonts w:ascii="Cambria" w:hAnsi="Cambria"/>
        </w:rPr>
        <w:t xml:space="preserve">catégorie C : agents techniques, adjoints de formation professionnelle, pompiers d’aérodromes ; </w:t>
      </w:r>
    </w:p>
    <w:p w:rsidR="00E30A66" w:rsidRPr="00894690" w:rsidRDefault="00E30A66" w:rsidP="00E30A66">
      <w:pPr>
        <w:pStyle w:val="NormalWeb"/>
        <w:numPr>
          <w:ilvl w:val="0"/>
          <w:numId w:val="6"/>
        </w:numPr>
        <w:spacing w:before="120" w:beforeAutospacing="0" w:after="0" w:afterAutospacing="0"/>
        <w:rPr>
          <w:rFonts w:ascii="Cambria" w:hAnsi="Cambria"/>
        </w:rPr>
      </w:pPr>
      <w:r w:rsidRPr="00894690">
        <w:rPr>
          <w:rFonts w:ascii="Cambria" w:hAnsi="Cambria"/>
        </w:rPr>
        <w:t xml:space="preserve">Filière santé : </w:t>
      </w:r>
    </w:p>
    <w:p w:rsidR="00E30A66" w:rsidRPr="00894690" w:rsidRDefault="00E30A66" w:rsidP="00E30A66">
      <w:pPr>
        <w:pStyle w:val="NormalWeb"/>
        <w:numPr>
          <w:ilvl w:val="0"/>
          <w:numId w:val="8"/>
        </w:numPr>
        <w:spacing w:before="120" w:beforeAutospacing="0" w:after="0" w:afterAutospacing="0"/>
        <w:rPr>
          <w:rFonts w:ascii="Cambria" w:hAnsi="Cambria"/>
        </w:rPr>
      </w:pPr>
      <w:r w:rsidRPr="00894690">
        <w:rPr>
          <w:rFonts w:ascii="Cambria" w:hAnsi="Cambria"/>
        </w:rPr>
        <w:t xml:space="preserve">catégorie C : agents médico-techniques, auxiliaires de soins ; </w:t>
      </w:r>
    </w:p>
    <w:p w:rsidR="00E30A66" w:rsidRPr="00894690" w:rsidRDefault="00E30A66" w:rsidP="00E30A66">
      <w:pPr>
        <w:pStyle w:val="NormalWeb"/>
        <w:numPr>
          <w:ilvl w:val="0"/>
          <w:numId w:val="6"/>
        </w:numPr>
        <w:spacing w:before="120" w:beforeAutospacing="0" w:after="0" w:afterAutospacing="0"/>
        <w:rPr>
          <w:rFonts w:ascii="Cambria" w:hAnsi="Cambria"/>
        </w:rPr>
      </w:pPr>
      <w:r w:rsidRPr="00894690">
        <w:rPr>
          <w:rFonts w:ascii="Cambria" w:hAnsi="Cambria"/>
        </w:rPr>
        <w:t xml:space="preserve">Filière socio-éducative, culturelle et sportive : </w:t>
      </w:r>
    </w:p>
    <w:p w:rsidR="00E30A66" w:rsidRPr="00894690" w:rsidRDefault="00E30A66" w:rsidP="00E30A66">
      <w:pPr>
        <w:pStyle w:val="NormalWeb"/>
        <w:numPr>
          <w:ilvl w:val="0"/>
          <w:numId w:val="9"/>
        </w:numPr>
        <w:spacing w:before="120" w:beforeAutospacing="0" w:after="0" w:afterAutospacing="0"/>
        <w:jc w:val="both"/>
        <w:rPr>
          <w:rFonts w:ascii="Cambria" w:hAnsi="Cambria"/>
        </w:rPr>
      </w:pPr>
      <w:r w:rsidRPr="00894690">
        <w:rPr>
          <w:rFonts w:ascii="Cambria" w:hAnsi="Cambria"/>
        </w:rPr>
        <w:t xml:space="preserve">catégorie C : auxiliaires de vie scolaire, agents sociaux, opérateurs des activités physiques et sportives. </w:t>
      </w:r>
    </w:p>
    <w:p w:rsidR="00E30A66" w:rsidRDefault="00E30A66" w:rsidP="008B3D3C">
      <w:pPr>
        <w:pStyle w:val="-LettreTexteGEDA"/>
        <w:ind w:firstLine="0"/>
        <w:rPr>
          <w:rFonts w:ascii="Cambria" w:hAnsi="Cambria"/>
          <w:b/>
          <w:bCs/>
          <w:noProof w:val="0"/>
        </w:rPr>
      </w:pPr>
    </w:p>
    <w:p w:rsidR="008B3D3C" w:rsidRPr="008B3D3C" w:rsidRDefault="008B3D3C" w:rsidP="008B3D3C">
      <w:pPr>
        <w:pStyle w:val="-LettreTexteGEDA"/>
        <w:ind w:firstLine="0"/>
        <w:rPr>
          <w:rFonts w:ascii="Cambria" w:hAnsi="Cambria"/>
          <w:b/>
          <w:bCs/>
          <w:noProof w:val="0"/>
        </w:rPr>
      </w:pPr>
      <w:r w:rsidRPr="008B3D3C">
        <w:rPr>
          <w:rFonts w:ascii="Cambria" w:hAnsi="Cambria"/>
          <w:b/>
          <w:bCs/>
          <w:noProof w:val="0"/>
        </w:rPr>
        <w:t>Dispositif « </w:t>
      </w:r>
      <w:r w:rsidR="006C2B9B">
        <w:rPr>
          <w:rFonts w:ascii="Cambria" w:hAnsi="Cambria"/>
          <w:b/>
          <w:bCs/>
          <w:noProof w:val="0"/>
        </w:rPr>
        <w:t>c</w:t>
      </w:r>
      <w:r w:rsidRPr="008B3D3C">
        <w:rPr>
          <w:rFonts w:ascii="Cambria" w:hAnsi="Cambria"/>
          <w:b/>
          <w:bCs/>
          <w:noProof w:val="0"/>
        </w:rPr>
        <w:t xml:space="preserve">hallenge Taure’a » </w:t>
      </w:r>
    </w:p>
    <w:p w:rsidR="008B3D3C" w:rsidRDefault="008B3D3C" w:rsidP="008B3D3C">
      <w:pPr>
        <w:pStyle w:val="-LettreSuiteORefPJGEDA"/>
      </w:pPr>
    </w:p>
    <w:p w:rsidR="006E3E9A" w:rsidRDefault="006E3E9A" w:rsidP="008B3D3C">
      <w:pPr>
        <w:pStyle w:val="-LettreTexteGEDA"/>
        <w:ind w:firstLine="0"/>
        <w:rPr>
          <w:rFonts w:ascii="Cambria" w:hAnsi="Cambria"/>
        </w:rPr>
      </w:pPr>
      <w:r>
        <w:rPr>
          <w:rFonts w:ascii="Cambria" w:hAnsi="Cambria"/>
        </w:rPr>
        <w:t>La ministre d</w:t>
      </w:r>
      <w:r w:rsidR="006C2B9B">
        <w:rPr>
          <w:rFonts w:ascii="Cambria" w:hAnsi="Cambria"/>
        </w:rPr>
        <w:t>e la Famille et des solidarités</w:t>
      </w:r>
      <w:r>
        <w:rPr>
          <w:rFonts w:ascii="Cambria" w:hAnsi="Cambria"/>
        </w:rPr>
        <w:t xml:space="preserve"> a proposé au Conseil des ministres,</w:t>
      </w:r>
      <w:r w:rsidR="008B3D3C" w:rsidRPr="008B3D3C">
        <w:rPr>
          <w:rFonts w:ascii="Cambria" w:hAnsi="Cambria"/>
        </w:rPr>
        <w:t xml:space="preserve"> </w:t>
      </w:r>
      <w:r w:rsidRPr="008B3D3C">
        <w:rPr>
          <w:rFonts w:ascii="Cambria" w:hAnsi="Cambria"/>
        </w:rPr>
        <w:t>de réactiver le dispositif du « Challenge Michelet », en sommeil depuis 2011, en lui do</w:t>
      </w:r>
      <w:r>
        <w:rPr>
          <w:rFonts w:ascii="Cambria" w:hAnsi="Cambria"/>
        </w:rPr>
        <w:t>nn</w:t>
      </w:r>
      <w:r w:rsidR="006C2B9B">
        <w:rPr>
          <w:rFonts w:ascii="Cambria" w:hAnsi="Cambria"/>
        </w:rPr>
        <w:t>ant de nouvelles orientations,</w:t>
      </w:r>
      <w:r>
        <w:rPr>
          <w:rFonts w:ascii="Cambria" w:hAnsi="Cambria"/>
        </w:rPr>
        <w:t xml:space="preserve"> dans le but </w:t>
      </w:r>
      <w:r w:rsidR="006C2B9B">
        <w:rPr>
          <w:rFonts w:ascii="Cambria" w:hAnsi="Cambria"/>
        </w:rPr>
        <w:t>de développer</w:t>
      </w:r>
      <w:r w:rsidR="008B3D3C" w:rsidRPr="008B3D3C">
        <w:rPr>
          <w:rFonts w:ascii="Cambria" w:hAnsi="Cambria"/>
        </w:rPr>
        <w:t xml:space="preserve"> les actions destinées à </w:t>
      </w:r>
      <w:r>
        <w:rPr>
          <w:rFonts w:ascii="Cambria" w:hAnsi="Cambria"/>
        </w:rPr>
        <w:t>la jeunesse polynésienne.</w:t>
      </w:r>
    </w:p>
    <w:p w:rsidR="008B3D3C" w:rsidRPr="008B3D3C" w:rsidRDefault="006E3E9A" w:rsidP="008B3D3C">
      <w:pPr>
        <w:pStyle w:val="-LettreTexteGEDA"/>
        <w:ind w:firstLine="0"/>
        <w:rPr>
          <w:rFonts w:ascii="Cambria" w:hAnsi="Cambria"/>
        </w:rPr>
      </w:pPr>
      <w:r>
        <w:rPr>
          <w:rFonts w:ascii="Cambria" w:hAnsi="Cambria"/>
        </w:rPr>
        <w:t>I</w:t>
      </w:r>
      <w:r w:rsidR="008B3D3C" w:rsidRPr="008B3D3C">
        <w:rPr>
          <w:rFonts w:ascii="Cambria" w:hAnsi="Cambria"/>
        </w:rPr>
        <w:t xml:space="preserve">nitié en </w:t>
      </w:r>
      <w:r w:rsidR="006C2B9B">
        <w:rPr>
          <w:rFonts w:ascii="Cambria" w:hAnsi="Cambria"/>
        </w:rPr>
        <w:t>m</w:t>
      </w:r>
      <w:r w:rsidR="008B3D3C" w:rsidRPr="008B3D3C">
        <w:rPr>
          <w:rFonts w:ascii="Cambria" w:hAnsi="Cambria"/>
        </w:rPr>
        <w:t xml:space="preserve">étropole chaque année depuis 1972 par la Protection Judiciaire de la Jeunesse (PJJ) et l'association sportive et culturelle Edmond Michelet - Henri Bailly, </w:t>
      </w:r>
      <w:r w:rsidR="006C2B9B">
        <w:rPr>
          <w:rFonts w:ascii="Cambria" w:hAnsi="Cambria"/>
        </w:rPr>
        <w:t xml:space="preserve">le rassemblement </w:t>
      </w:r>
      <w:r w:rsidR="008B3D3C" w:rsidRPr="008B3D3C">
        <w:rPr>
          <w:rFonts w:ascii="Cambria" w:hAnsi="Cambria"/>
        </w:rPr>
        <w:t>réunit des mineurs sous mandat judiciaire qui s'affrontent lors de compétitions sportives durant plusieurs jours.</w:t>
      </w:r>
    </w:p>
    <w:p w:rsidR="008B3D3C" w:rsidRPr="008B3D3C" w:rsidRDefault="008B3D3C" w:rsidP="008B3D3C">
      <w:pPr>
        <w:pStyle w:val="-LettreTexteGEDA"/>
        <w:ind w:firstLine="0"/>
        <w:rPr>
          <w:rFonts w:ascii="Cambria" w:hAnsi="Cambria"/>
        </w:rPr>
      </w:pPr>
      <w:r w:rsidRPr="008B3D3C">
        <w:rPr>
          <w:rFonts w:ascii="Cambria" w:hAnsi="Cambria"/>
        </w:rPr>
        <w:t>L'objectif de c</w:t>
      </w:r>
      <w:r w:rsidR="006C2B9B">
        <w:rPr>
          <w:rFonts w:ascii="Cambria" w:hAnsi="Cambria"/>
        </w:rPr>
        <w:t xml:space="preserve">ette manifestation est donc d’aider à l’insertion sociale </w:t>
      </w:r>
      <w:r w:rsidRPr="008B3D3C">
        <w:rPr>
          <w:rFonts w:ascii="Cambria" w:hAnsi="Cambria"/>
        </w:rPr>
        <w:t>des jeunes en difficulté à travers la pratique sportive et les valeurs de respect, d'échange, de plaisir, de solidarité et de dépassement de soi qu'elle véhicule.</w:t>
      </w:r>
      <w:r w:rsidR="006C2B9B">
        <w:rPr>
          <w:rFonts w:ascii="Cambria" w:hAnsi="Cambria"/>
        </w:rPr>
        <w:t xml:space="preserve"> </w:t>
      </w:r>
      <w:r w:rsidRPr="008B3D3C">
        <w:rPr>
          <w:rFonts w:ascii="Cambria" w:hAnsi="Cambria"/>
        </w:rPr>
        <w:t xml:space="preserve">Cette action </w:t>
      </w:r>
      <w:r w:rsidR="006C2B9B">
        <w:rPr>
          <w:rFonts w:ascii="Cambria" w:hAnsi="Cambria"/>
        </w:rPr>
        <w:t>a été organisée en Polynésie durant de nombreuses années, de 1999 à 2011, et</w:t>
      </w:r>
      <w:r w:rsidRPr="008B3D3C">
        <w:rPr>
          <w:rFonts w:ascii="Cambria" w:hAnsi="Cambria"/>
        </w:rPr>
        <w:t xml:space="preserve"> les acteurs engagés auprès de la jeunesse ont pu en </w:t>
      </w:r>
      <w:r w:rsidR="006C2B9B">
        <w:rPr>
          <w:rFonts w:ascii="Cambria" w:hAnsi="Cambria"/>
        </w:rPr>
        <w:t>mesurer</w:t>
      </w:r>
      <w:r w:rsidRPr="008B3D3C">
        <w:rPr>
          <w:rFonts w:ascii="Cambria" w:hAnsi="Cambria"/>
        </w:rPr>
        <w:t xml:space="preserve"> l’impact positif.</w:t>
      </w:r>
    </w:p>
    <w:p w:rsidR="008B3D3C" w:rsidRPr="008B3D3C" w:rsidRDefault="008B3D3C" w:rsidP="008B3D3C">
      <w:pPr>
        <w:pStyle w:val="-LettreTexteGEDA"/>
        <w:ind w:firstLine="0"/>
        <w:rPr>
          <w:rFonts w:ascii="Cambria" w:hAnsi="Cambria"/>
        </w:rPr>
      </w:pPr>
      <w:r w:rsidRPr="008B3D3C">
        <w:rPr>
          <w:rFonts w:ascii="Cambria" w:hAnsi="Cambria"/>
        </w:rPr>
        <w:t>Sur cette base, il est apparu opportun de redéployer un dispositif semblable en lui donnant de nouveaux contours : le « Challenge Taure’a ». Ce rendez-vous de la jeunesse polynésienne réunira des filles et des garçons âgés de 14 à 17 ans, rencontrant des difficultés d’ordre éducatif, social et familial.</w:t>
      </w:r>
    </w:p>
    <w:p w:rsidR="008B3D3C" w:rsidRPr="008B3D3C" w:rsidRDefault="008B3D3C" w:rsidP="008B3D3C">
      <w:pPr>
        <w:pStyle w:val="-LettreTexteGEDA"/>
        <w:ind w:firstLine="0"/>
        <w:rPr>
          <w:rFonts w:ascii="Cambria" w:hAnsi="Cambria"/>
        </w:rPr>
      </w:pPr>
      <w:r w:rsidRPr="008B3D3C">
        <w:rPr>
          <w:rFonts w:ascii="Cambria" w:hAnsi="Cambria"/>
        </w:rPr>
        <w:t xml:space="preserve">Il est ainsi prévu de rassembler 256 jeunes bénéficiant d’un accompagnement par la Direction des Solidarités, de la Famille et de l’Egalité (DSFE), soit dans le cadre de la </w:t>
      </w:r>
      <w:r w:rsidRPr="008B3D3C">
        <w:rPr>
          <w:rFonts w:ascii="Cambria" w:hAnsi="Cambria"/>
        </w:rPr>
        <w:lastRenderedPageBreak/>
        <w:t>protection de l’enfance, soit dans celui de la polyvalence, ainsi que 64 accompagnateurs, répartis au sein de 16 délégations issues des différents archipels de la Polynésie française.</w:t>
      </w:r>
    </w:p>
    <w:p w:rsidR="008B3D3C" w:rsidRPr="008B3D3C" w:rsidRDefault="008B3D3C" w:rsidP="008B3D3C">
      <w:pPr>
        <w:pStyle w:val="-LettreTexteGEDA"/>
        <w:ind w:firstLine="0"/>
        <w:rPr>
          <w:rFonts w:ascii="Cambria" w:hAnsi="Cambria"/>
        </w:rPr>
      </w:pPr>
      <w:r w:rsidRPr="008B3D3C">
        <w:rPr>
          <w:rFonts w:ascii="Cambria" w:hAnsi="Cambria"/>
        </w:rPr>
        <w:t xml:space="preserve">Eu égard à la nature de ce projet et des moyens qu’il nécessite, l’association Fédération Sportive et Culturelle de France – Polynésie (FSCF CD Polynésie) </w:t>
      </w:r>
      <w:r w:rsidR="006C2B9B">
        <w:rPr>
          <w:rFonts w:ascii="Cambria" w:hAnsi="Cambria"/>
        </w:rPr>
        <w:t>sera chargée de</w:t>
      </w:r>
      <w:r w:rsidRPr="008B3D3C">
        <w:rPr>
          <w:rFonts w:ascii="Cambria" w:hAnsi="Cambria"/>
        </w:rPr>
        <w:t xml:space="preserve"> sa mise en œuvre.</w:t>
      </w:r>
    </w:p>
    <w:p w:rsidR="008B3D3C" w:rsidRPr="008B3D3C" w:rsidRDefault="006C2B9B" w:rsidP="006C2B9B">
      <w:pPr>
        <w:pStyle w:val="-LettreTexteGEDA"/>
        <w:ind w:firstLine="0"/>
        <w:rPr>
          <w:rFonts w:ascii="Cambria" w:hAnsi="Cambria"/>
        </w:rPr>
      </w:pPr>
      <w:r>
        <w:rPr>
          <w:rFonts w:ascii="Cambria" w:hAnsi="Cambria"/>
        </w:rPr>
        <w:t>Cet événement sera ainsi l’</w:t>
      </w:r>
      <w:r w:rsidR="008B3D3C" w:rsidRPr="008B3D3C">
        <w:rPr>
          <w:rFonts w:ascii="Cambria" w:hAnsi="Cambria"/>
        </w:rPr>
        <w:t xml:space="preserve">occasion d'offrir un moment de sport et de compétition à ces enfants en quête d'épanouissement, mais aussi de mettre en valeur le travail fait durant toute l'année par les éducateurs auprès de ces jeunes en difficulté. Plus que du sport, cette semaine </w:t>
      </w:r>
      <w:r>
        <w:rPr>
          <w:rFonts w:ascii="Cambria" w:hAnsi="Cambria"/>
        </w:rPr>
        <w:t xml:space="preserve">va </w:t>
      </w:r>
      <w:r w:rsidR="008B3D3C" w:rsidRPr="008B3D3C">
        <w:rPr>
          <w:rFonts w:ascii="Cambria" w:hAnsi="Cambria"/>
        </w:rPr>
        <w:t>représente</w:t>
      </w:r>
      <w:r>
        <w:rPr>
          <w:rFonts w:ascii="Cambria" w:hAnsi="Cambria"/>
        </w:rPr>
        <w:t>r</w:t>
      </w:r>
      <w:r w:rsidR="008B3D3C" w:rsidRPr="008B3D3C">
        <w:rPr>
          <w:rFonts w:ascii="Cambria" w:hAnsi="Cambria"/>
        </w:rPr>
        <w:t xml:space="preserve"> pour les jeunes un vrai complément pour leur réinsertion et leur sociabilisation futures e</w:t>
      </w:r>
      <w:r>
        <w:rPr>
          <w:rFonts w:ascii="Cambria" w:hAnsi="Cambria"/>
        </w:rPr>
        <w:t>n</w:t>
      </w:r>
      <w:r w:rsidR="008B3D3C" w:rsidRPr="008B3D3C">
        <w:rPr>
          <w:rFonts w:ascii="Cambria" w:hAnsi="Cambria"/>
        </w:rPr>
        <w:t xml:space="preserve"> s'intègr</w:t>
      </w:r>
      <w:r>
        <w:rPr>
          <w:rFonts w:ascii="Cambria" w:hAnsi="Cambria"/>
        </w:rPr>
        <w:t>ant</w:t>
      </w:r>
      <w:r w:rsidR="008B3D3C" w:rsidRPr="008B3D3C">
        <w:rPr>
          <w:rFonts w:ascii="Cambria" w:hAnsi="Cambria"/>
        </w:rPr>
        <w:t xml:space="preserve"> dans une démarche d'apprentissage au quotidien. En effet, tout au long de la compétition, des actions de prévention seront proposées aux jeunes sportifs, faisant de cette semaine un véritable rendez-vous éducatif et citoyen.</w:t>
      </w:r>
      <w:r>
        <w:rPr>
          <w:rFonts w:ascii="Cambria" w:hAnsi="Cambria"/>
        </w:rPr>
        <w:t xml:space="preserve"> Cet événement</w:t>
      </w:r>
      <w:r w:rsidR="008B3D3C" w:rsidRPr="008B3D3C">
        <w:rPr>
          <w:rFonts w:ascii="Cambria" w:hAnsi="Cambria"/>
        </w:rPr>
        <w:t xml:space="preserve"> se tiendr</w:t>
      </w:r>
      <w:r>
        <w:rPr>
          <w:rFonts w:ascii="Cambria" w:hAnsi="Cambria"/>
        </w:rPr>
        <w:t xml:space="preserve">a du lundi 30 mars au vendredi </w:t>
      </w:r>
      <w:r w:rsidR="008B3D3C" w:rsidRPr="008B3D3C">
        <w:rPr>
          <w:rFonts w:ascii="Cambria" w:hAnsi="Cambria"/>
        </w:rPr>
        <w:t xml:space="preserve">3 avril 2020 sur différents sites sportifs </w:t>
      </w:r>
      <w:r>
        <w:rPr>
          <w:rFonts w:ascii="Cambria" w:hAnsi="Cambria"/>
        </w:rPr>
        <w:t>de</w:t>
      </w:r>
      <w:r w:rsidR="008B3D3C" w:rsidRPr="008B3D3C">
        <w:rPr>
          <w:rFonts w:ascii="Cambria" w:hAnsi="Cambria"/>
        </w:rPr>
        <w:t xml:space="preserve"> Tahiti.</w:t>
      </w:r>
    </w:p>
    <w:p w:rsidR="00045E81" w:rsidRPr="00894690" w:rsidRDefault="00045E81" w:rsidP="00E55B39">
      <w:pPr>
        <w:pStyle w:val="-LettreTexteGEDA"/>
        <w:ind w:firstLine="0"/>
        <w:rPr>
          <w:rFonts w:ascii="Cambria" w:hAnsi="Cambria"/>
          <w:b/>
        </w:rPr>
      </w:pPr>
    </w:p>
    <w:p w:rsidR="006E3E9A" w:rsidRDefault="006E3E9A" w:rsidP="006E3E9A">
      <w:pPr>
        <w:pStyle w:val="-LettreObjetGEDA"/>
        <w:tabs>
          <w:tab w:val="left" w:pos="709"/>
        </w:tabs>
        <w:spacing w:before="0"/>
        <w:ind w:left="0" w:firstLine="0"/>
        <w:jc w:val="center"/>
        <w:rPr>
          <w:b/>
        </w:rPr>
      </w:pPr>
    </w:p>
    <w:p w:rsidR="00264EF2" w:rsidRPr="001F2760" w:rsidRDefault="00264EF2" w:rsidP="00264EF2">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p w:rsidR="00264EF2" w:rsidRPr="001F2760" w:rsidRDefault="00264EF2" w:rsidP="006A3579">
      <w:pPr>
        <w:widowControl w:val="0"/>
        <w:autoSpaceDE w:val="0"/>
        <w:autoSpaceDN w:val="0"/>
        <w:adjustRightInd w:val="0"/>
        <w:jc w:val="center"/>
        <w:rPr>
          <w:rFonts w:ascii="Cambria" w:hAnsi="Cambria" w:cs="Century Schoolbook"/>
        </w:rPr>
      </w:pPr>
    </w:p>
    <w:p w:rsidR="008059E4" w:rsidRPr="001F2760" w:rsidRDefault="008059E4" w:rsidP="006A3579">
      <w:pPr>
        <w:widowControl w:val="0"/>
        <w:autoSpaceDE w:val="0"/>
        <w:autoSpaceDN w:val="0"/>
        <w:adjustRightInd w:val="0"/>
        <w:jc w:val="center"/>
        <w:rPr>
          <w:rFonts w:ascii="Cambria" w:hAnsi="Cambria" w:cs="Century Schoolbook"/>
        </w:rPr>
      </w:pPr>
    </w:p>
    <w:sectPr w:rsidR="008059E4" w:rsidRPr="001F2760"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732" w:rsidRDefault="00F33732">
      <w:r>
        <w:separator/>
      </w:r>
    </w:p>
  </w:endnote>
  <w:endnote w:type="continuationSeparator" w:id="0">
    <w:p w:rsidR="00F33732" w:rsidRDefault="00F3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Default="00825657"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25657" w:rsidRDefault="00F33732" w:rsidP="00922ABB">
    <w:pPr>
      <w:pStyle w:val="Pieddepage"/>
      <w:ind w:right="360"/>
    </w:pPr>
    <w:sdt>
      <w:sdtPr>
        <w:id w:val="969400743"/>
        <w:temporary/>
        <w:showingPlcHdr/>
      </w:sdtPr>
      <w:sdtEndPr/>
      <w:sdtContent>
        <w:r w:rsidR="00825657">
          <w:t>[Tapez le texte]</w:t>
        </w:r>
      </w:sdtContent>
    </w:sdt>
    <w:r w:rsidR="00825657">
      <w:ptab w:relativeTo="margin" w:alignment="center" w:leader="none"/>
    </w:r>
    <w:sdt>
      <w:sdtPr>
        <w:id w:val="969400748"/>
        <w:temporary/>
        <w:showingPlcHdr/>
      </w:sdtPr>
      <w:sdtEndPr/>
      <w:sdtContent>
        <w:r w:rsidR="00825657">
          <w:t>[Tapez le texte]</w:t>
        </w:r>
      </w:sdtContent>
    </w:sdt>
    <w:r w:rsidR="00825657">
      <w:ptab w:relativeTo="margin" w:alignment="right" w:leader="none"/>
    </w:r>
    <w:sdt>
      <w:sdtPr>
        <w:id w:val="969400753"/>
        <w:temporary/>
        <w:showingPlcHdr/>
      </w:sdtPr>
      <w:sdtEndPr/>
      <w:sdtContent>
        <w:r w:rsidR="00825657">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Pr="00BA209E" w:rsidRDefault="00825657" w:rsidP="00922ABB">
    <w:pPr>
      <w:pStyle w:val="Pieddepage"/>
      <w:jc w:val="center"/>
      <w:rPr>
        <w:i/>
        <w:sz w:val="20"/>
        <w:szCs w:val="20"/>
      </w:rPr>
    </w:pPr>
    <w:r w:rsidRPr="00BA209E">
      <w:rPr>
        <w:i/>
        <w:sz w:val="20"/>
        <w:szCs w:val="20"/>
      </w:rPr>
      <w:t>Présidence de la Polynésie Française</w:t>
    </w:r>
  </w:p>
  <w:p w:rsidR="00825657" w:rsidRPr="00BA209E" w:rsidRDefault="00825657" w:rsidP="00922ABB">
    <w:pPr>
      <w:pStyle w:val="Pieddepage"/>
      <w:jc w:val="center"/>
      <w:rPr>
        <w:i/>
        <w:sz w:val="20"/>
        <w:szCs w:val="20"/>
      </w:rPr>
    </w:pPr>
    <w:r w:rsidRPr="00BA209E">
      <w:rPr>
        <w:i/>
        <w:sz w:val="20"/>
        <w:szCs w:val="20"/>
      </w:rPr>
      <w:t xml:space="preserve">Service </w:t>
    </w:r>
    <w:r>
      <w:rPr>
        <w:i/>
        <w:sz w:val="20"/>
        <w:szCs w:val="20"/>
      </w:rPr>
      <w:t>de la communication</w:t>
    </w:r>
  </w:p>
  <w:p w:rsidR="00825657" w:rsidRPr="00BA209E" w:rsidRDefault="00F33732" w:rsidP="00922ABB">
    <w:pPr>
      <w:pStyle w:val="Pieddepage"/>
      <w:jc w:val="center"/>
      <w:rPr>
        <w:sz w:val="20"/>
        <w:szCs w:val="20"/>
      </w:rPr>
    </w:pPr>
    <w:hyperlink r:id="rId1" w:history="1">
      <w:r w:rsidR="00825657" w:rsidRPr="00E264FC">
        <w:rPr>
          <w:rStyle w:val="Lienhypertexte"/>
          <w:sz w:val="20"/>
        </w:rPr>
        <w:t>communication@presidence.pf</w:t>
      </w:r>
    </w:hyperlink>
    <w:r w:rsidR="00825657" w:rsidRPr="00BA209E">
      <w:rPr>
        <w:sz w:val="20"/>
        <w:szCs w:val="20"/>
      </w:rPr>
      <w:t xml:space="preserve"> – </w:t>
    </w:r>
    <w:r w:rsidR="00825657">
      <w:rPr>
        <w:sz w:val="20"/>
        <w:szCs w:val="20"/>
      </w:rPr>
      <w:t xml:space="preserve">40 </w:t>
    </w:r>
    <w:r w:rsidR="00825657" w:rsidRPr="00BA209E">
      <w:rPr>
        <w:sz w:val="20"/>
        <w:szCs w:val="20"/>
      </w:rPr>
      <w:t>47 20 00</w:t>
    </w:r>
  </w:p>
  <w:p w:rsidR="00825657" w:rsidRDefault="008256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732" w:rsidRDefault="00F33732">
      <w:r>
        <w:separator/>
      </w:r>
    </w:p>
  </w:footnote>
  <w:footnote w:type="continuationSeparator" w:id="0">
    <w:p w:rsidR="00F33732" w:rsidRDefault="00F33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46C9"/>
    <w:multiLevelType w:val="hybridMultilevel"/>
    <w:tmpl w:val="AF1C5AD2"/>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7930FA"/>
    <w:multiLevelType w:val="hybridMultilevel"/>
    <w:tmpl w:val="B1768290"/>
    <w:lvl w:ilvl="0" w:tplc="5CCC50BC">
      <w:numFmt w:val="bullet"/>
      <w:lvlText w:val="-"/>
      <w:lvlJc w:val="left"/>
      <w:pPr>
        <w:ind w:left="1931" w:hanging="360"/>
      </w:pPr>
      <w:rPr>
        <w:rFonts w:ascii="Times New Roman" w:eastAsia="Times New Roman" w:hAnsi="Times New Roman" w:cs="Times New Roman" w:hint="default"/>
      </w:rPr>
    </w:lvl>
    <w:lvl w:ilvl="1" w:tplc="040C0003" w:tentative="1">
      <w:start w:val="1"/>
      <w:numFmt w:val="bullet"/>
      <w:lvlText w:val="o"/>
      <w:lvlJc w:val="left"/>
      <w:pPr>
        <w:ind w:left="2651" w:hanging="360"/>
      </w:pPr>
      <w:rPr>
        <w:rFonts w:ascii="Courier New" w:hAnsi="Courier New" w:cs="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cs="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cs="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2">
    <w:nsid w:val="35A12CC1"/>
    <w:multiLevelType w:val="hybridMultilevel"/>
    <w:tmpl w:val="CD805D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80008DF"/>
    <w:multiLevelType w:val="hybridMultilevel"/>
    <w:tmpl w:val="0C56B7F6"/>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5">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6">
    <w:nsid w:val="43235253"/>
    <w:multiLevelType w:val="hybridMultilevel"/>
    <w:tmpl w:val="DF0ED72C"/>
    <w:lvl w:ilvl="0" w:tplc="5328A524">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7">
    <w:nsid w:val="43ED1022"/>
    <w:multiLevelType w:val="hybridMultilevel"/>
    <w:tmpl w:val="28AA907C"/>
    <w:lvl w:ilvl="0" w:tplc="5CCC50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9">
    <w:nsid w:val="6DD54CBF"/>
    <w:multiLevelType w:val="hybridMultilevel"/>
    <w:tmpl w:val="093CBD1A"/>
    <w:lvl w:ilvl="0" w:tplc="6528199E">
      <w:start w:val="1"/>
      <w:numFmt w:val="bullet"/>
      <w:lvlText w:val=""/>
      <w:lvlJc w:val="left"/>
      <w:pPr>
        <w:ind w:left="1571" w:hanging="360"/>
      </w:pPr>
      <w:rPr>
        <w:rFonts w:ascii="Wingdings" w:hAnsi="Wingdings" w:hint="default"/>
        <w:b w:val="0"/>
        <w:i w:val="0"/>
        <w:color w:val="auto"/>
        <w:sz w:val="24"/>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10">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4"/>
  </w:num>
  <w:num w:numId="2">
    <w:abstractNumId w:val="5"/>
  </w:num>
  <w:num w:numId="3">
    <w:abstractNumId w:val="10"/>
  </w:num>
  <w:num w:numId="4">
    <w:abstractNumId w:val="8"/>
  </w:num>
  <w:num w:numId="5">
    <w:abstractNumId w:val="6"/>
  </w:num>
  <w:num w:numId="6">
    <w:abstractNumId w:val="2"/>
  </w:num>
  <w:num w:numId="7">
    <w:abstractNumId w:val="3"/>
  </w:num>
  <w:num w:numId="8">
    <w:abstractNumId w:val="0"/>
  </w:num>
  <w:num w:numId="9">
    <w:abstractNumId w:val="7"/>
  </w:num>
  <w:num w:numId="10">
    <w:abstractNumId w:val="9"/>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2B31"/>
    <w:rsid w:val="00011CE8"/>
    <w:rsid w:val="000224F9"/>
    <w:rsid w:val="0003093E"/>
    <w:rsid w:val="00033658"/>
    <w:rsid w:val="00040642"/>
    <w:rsid w:val="000448E5"/>
    <w:rsid w:val="00045E81"/>
    <w:rsid w:val="00047992"/>
    <w:rsid w:val="000508C8"/>
    <w:rsid w:val="00064A61"/>
    <w:rsid w:val="0008409F"/>
    <w:rsid w:val="00086538"/>
    <w:rsid w:val="00087CFE"/>
    <w:rsid w:val="0009440F"/>
    <w:rsid w:val="00094FC4"/>
    <w:rsid w:val="000A7995"/>
    <w:rsid w:val="000B0B49"/>
    <w:rsid w:val="000B77CD"/>
    <w:rsid w:val="000C0F06"/>
    <w:rsid w:val="000C3FED"/>
    <w:rsid w:val="000D41CD"/>
    <w:rsid w:val="000F7373"/>
    <w:rsid w:val="00112BB8"/>
    <w:rsid w:val="00114615"/>
    <w:rsid w:val="00121B8F"/>
    <w:rsid w:val="001260E1"/>
    <w:rsid w:val="001510DE"/>
    <w:rsid w:val="0016503A"/>
    <w:rsid w:val="001775EE"/>
    <w:rsid w:val="0018145E"/>
    <w:rsid w:val="001A2D2F"/>
    <w:rsid w:val="001A5551"/>
    <w:rsid w:val="001A5B63"/>
    <w:rsid w:val="001B28FD"/>
    <w:rsid w:val="001C5819"/>
    <w:rsid w:val="001C6C5E"/>
    <w:rsid w:val="001C74FC"/>
    <w:rsid w:val="001D6BE1"/>
    <w:rsid w:val="001E20C7"/>
    <w:rsid w:val="001E2C77"/>
    <w:rsid w:val="001E4B80"/>
    <w:rsid w:val="001E5D7F"/>
    <w:rsid w:val="001E69FF"/>
    <w:rsid w:val="001F02DD"/>
    <w:rsid w:val="001F2760"/>
    <w:rsid w:val="001F6D55"/>
    <w:rsid w:val="00235683"/>
    <w:rsid w:val="00247536"/>
    <w:rsid w:val="002512C5"/>
    <w:rsid w:val="002648E4"/>
    <w:rsid w:val="00264EF2"/>
    <w:rsid w:val="00270AE2"/>
    <w:rsid w:val="00277481"/>
    <w:rsid w:val="00285425"/>
    <w:rsid w:val="00286FFA"/>
    <w:rsid w:val="002904DD"/>
    <w:rsid w:val="00297A93"/>
    <w:rsid w:val="002B1B00"/>
    <w:rsid w:val="002B5710"/>
    <w:rsid w:val="002C3C82"/>
    <w:rsid w:val="002D6359"/>
    <w:rsid w:val="002E1D40"/>
    <w:rsid w:val="002E42D2"/>
    <w:rsid w:val="002F733A"/>
    <w:rsid w:val="003107CB"/>
    <w:rsid w:val="003175DF"/>
    <w:rsid w:val="0032141A"/>
    <w:rsid w:val="00331349"/>
    <w:rsid w:val="00335461"/>
    <w:rsid w:val="0033691B"/>
    <w:rsid w:val="003444A6"/>
    <w:rsid w:val="00347372"/>
    <w:rsid w:val="0035386E"/>
    <w:rsid w:val="00357DC7"/>
    <w:rsid w:val="003625D8"/>
    <w:rsid w:val="00375466"/>
    <w:rsid w:val="00376D41"/>
    <w:rsid w:val="00393D5F"/>
    <w:rsid w:val="00395780"/>
    <w:rsid w:val="00396E20"/>
    <w:rsid w:val="003A3094"/>
    <w:rsid w:val="003B14D7"/>
    <w:rsid w:val="003B5A14"/>
    <w:rsid w:val="003D37E1"/>
    <w:rsid w:val="003D62F0"/>
    <w:rsid w:val="003E3D40"/>
    <w:rsid w:val="003E44BD"/>
    <w:rsid w:val="003F0DC9"/>
    <w:rsid w:val="003F3E11"/>
    <w:rsid w:val="00403CBD"/>
    <w:rsid w:val="004045BC"/>
    <w:rsid w:val="004119C3"/>
    <w:rsid w:val="00414234"/>
    <w:rsid w:val="00415AE9"/>
    <w:rsid w:val="00416ABB"/>
    <w:rsid w:val="0042162D"/>
    <w:rsid w:val="0042227C"/>
    <w:rsid w:val="00424B02"/>
    <w:rsid w:val="004443F9"/>
    <w:rsid w:val="00447307"/>
    <w:rsid w:val="00464DBA"/>
    <w:rsid w:val="00477702"/>
    <w:rsid w:val="004824BE"/>
    <w:rsid w:val="004901D8"/>
    <w:rsid w:val="004945F1"/>
    <w:rsid w:val="004A0C8B"/>
    <w:rsid w:val="004B281C"/>
    <w:rsid w:val="004C0B54"/>
    <w:rsid w:val="004D2C02"/>
    <w:rsid w:val="004E1879"/>
    <w:rsid w:val="004E59E4"/>
    <w:rsid w:val="004F1581"/>
    <w:rsid w:val="004F2666"/>
    <w:rsid w:val="004F6AB0"/>
    <w:rsid w:val="005071D6"/>
    <w:rsid w:val="00511481"/>
    <w:rsid w:val="005117FB"/>
    <w:rsid w:val="00514734"/>
    <w:rsid w:val="00537381"/>
    <w:rsid w:val="0054277A"/>
    <w:rsid w:val="00555562"/>
    <w:rsid w:val="0057103B"/>
    <w:rsid w:val="0057273D"/>
    <w:rsid w:val="00580ED3"/>
    <w:rsid w:val="00582D1E"/>
    <w:rsid w:val="0059665C"/>
    <w:rsid w:val="005B3AF7"/>
    <w:rsid w:val="005D0C9C"/>
    <w:rsid w:val="005D1E56"/>
    <w:rsid w:val="005D300C"/>
    <w:rsid w:val="005E1F37"/>
    <w:rsid w:val="005E3D2E"/>
    <w:rsid w:val="005F11F1"/>
    <w:rsid w:val="005F5786"/>
    <w:rsid w:val="005F67A7"/>
    <w:rsid w:val="00620349"/>
    <w:rsid w:val="006351F3"/>
    <w:rsid w:val="00636B0B"/>
    <w:rsid w:val="00643F5E"/>
    <w:rsid w:val="0064491E"/>
    <w:rsid w:val="00646D25"/>
    <w:rsid w:val="006619B5"/>
    <w:rsid w:val="00672ED4"/>
    <w:rsid w:val="00683D1F"/>
    <w:rsid w:val="00691CAE"/>
    <w:rsid w:val="00697133"/>
    <w:rsid w:val="006A3579"/>
    <w:rsid w:val="006B623F"/>
    <w:rsid w:val="006C2B9B"/>
    <w:rsid w:val="006E3E9A"/>
    <w:rsid w:val="006E411F"/>
    <w:rsid w:val="006E478C"/>
    <w:rsid w:val="006E76C6"/>
    <w:rsid w:val="006F3B1B"/>
    <w:rsid w:val="006F7090"/>
    <w:rsid w:val="007052A3"/>
    <w:rsid w:val="00711F71"/>
    <w:rsid w:val="00716A05"/>
    <w:rsid w:val="00724158"/>
    <w:rsid w:val="0073038C"/>
    <w:rsid w:val="00734600"/>
    <w:rsid w:val="00736200"/>
    <w:rsid w:val="00744311"/>
    <w:rsid w:val="00744E22"/>
    <w:rsid w:val="00745751"/>
    <w:rsid w:val="007503DC"/>
    <w:rsid w:val="00753BF6"/>
    <w:rsid w:val="00764607"/>
    <w:rsid w:val="00767E72"/>
    <w:rsid w:val="0077109E"/>
    <w:rsid w:val="00781048"/>
    <w:rsid w:val="007954CB"/>
    <w:rsid w:val="007969D9"/>
    <w:rsid w:val="007A103C"/>
    <w:rsid w:val="007A6288"/>
    <w:rsid w:val="007A6645"/>
    <w:rsid w:val="007A6D8A"/>
    <w:rsid w:val="007B3B1E"/>
    <w:rsid w:val="007B5747"/>
    <w:rsid w:val="007C215C"/>
    <w:rsid w:val="007D57D7"/>
    <w:rsid w:val="007D7D62"/>
    <w:rsid w:val="007E5AD4"/>
    <w:rsid w:val="007E6573"/>
    <w:rsid w:val="00802907"/>
    <w:rsid w:val="008059E4"/>
    <w:rsid w:val="00815E32"/>
    <w:rsid w:val="00822799"/>
    <w:rsid w:val="00822FDE"/>
    <w:rsid w:val="0082400F"/>
    <w:rsid w:val="00825657"/>
    <w:rsid w:val="008261E3"/>
    <w:rsid w:val="0082621E"/>
    <w:rsid w:val="008276FE"/>
    <w:rsid w:val="00827B40"/>
    <w:rsid w:val="0083120F"/>
    <w:rsid w:val="008336DF"/>
    <w:rsid w:val="00852F12"/>
    <w:rsid w:val="008537CB"/>
    <w:rsid w:val="00864279"/>
    <w:rsid w:val="0086475C"/>
    <w:rsid w:val="00866990"/>
    <w:rsid w:val="00871A3F"/>
    <w:rsid w:val="008848AD"/>
    <w:rsid w:val="00887D74"/>
    <w:rsid w:val="00891EDE"/>
    <w:rsid w:val="00892735"/>
    <w:rsid w:val="00894690"/>
    <w:rsid w:val="008A241A"/>
    <w:rsid w:val="008B080B"/>
    <w:rsid w:val="008B3D3C"/>
    <w:rsid w:val="008C255E"/>
    <w:rsid w:val="008D02F0"/>
    <w:rsid w:val="008D6C23"/>
    <w:rsid w:val="008E053C"/>
    <w:rsid w:val="008E4691"/>
    <w:rsid w:val="008F245A"/>
    <w:rsid w:val="008F61CE"/>
    <w:rsid w:val="00906A19"/>
    <w:rsid w:val="00906D50"/>
    <w:rsid w:val="00922ABB"/>
    <w:rsid w:val="009401EA"/>
    <w:rsid w:val="00950864"/>
    <w:rsid w:val="00952102"/>
    <w:rsid w:val="00954182"/>
    <w:rsid w:val="00960A98"/>
    <w:rsid w:val="009740B4"/>
    <w:rsid w:val="00974CB1"/>
    <w:rsid w:val="00982775"/>
    <w:rsid w:val="00986537"/>
    <w:rsid w:val="0099197F"/>
    <w:rsid w:val="00994824"/>
    <w:rsid w:val="00994A64"/>
    <w:rsid w:val="009A0987"/>
    <w:rsid w:val="009A3BA0"/>
    <w:rsid w:val="009B11A7"/>
    <w:rsid w:val="009B73C8"/>
    <w:rsid w:val="009B778E"/>
    <w:rsid w:val="009C0DEF"/>
    <w:rsid w:val="00A01888"/>
    <w:rsid w:val="00A100DC"/>
    <w:rsid w:val="00A126D4"/>
    <w:rsid w:val="00A17AA2"/>
    <w:rsid w:val="00A21E46"/>
    <w:rsid w:val="00A24863"/>
    <w:rsid w:val="00A251E2"/>
    <w:rsid w:val="00A31AE6"/>
    <w:rsid w:val="00A40622"/>
    <w:rsid w:val="00A41FD7"/>
    <w:rsid w:val="00A44770"/>
    <w:rsid w:val="00A45B8E"/>
    <w:rsid w:val="00A46AF8"/>
    <w:rsid w:val="00A46EA3"/>
    <w:rsid w:val="00A54D43"/>
    <w:rsid w:val="00A73389"/>
    <w:rsid w:val="00A80857"/>
    <w:rsid w:val="00A87746"/>
    <w:rsid w:val="00A93D19"/>
    <w:rsid w:val="00AA198C"/>
    <w:rsid w:val="00AA5DB0"/>
    <w:rsid w:val="00AB7D79"/>
    <w:rsid w:val="00AC42CB"/>
    <w:rsid w:val="00AC6946"/>
    <w:rsid w:val="00AD3266"/>
    <w:rsid w:val="00AD5069"/>
    <w:rsid w:val="00AD5D6D"/>
    <w:rsid w:val="00AD5EDD"/>
    <w:rsid w:val="00AD5EE0"/>
    <w:rsid w:val="00AD6E64"/>
    <w:rsid w:val="00AE3F88"/>
    <w:rsid w:val="00AE4FD0"/>
    <w:rsid w:val="00AF2B57"/>
    <w:rsid w:val="00B123F5"/>
    <w:rsid w:val="00B14FEF"/>
    <w:rsid w:val="00B21E1D"/>
    <w:rsid w:val="00B31AD4"/>
    <w:rsid w:val="00B332D7"/>
    <w:rsid w:val="00B45D18"/>
    <w:rsid w:val="00B51388"/>
    <w:rsid w:val="00B64483"/>
    <w:rsid w:val="00B74014"/>
    <w:rsid w:val="00B82454"/>
    <w:rsid w:val="00B83D50"/>
    <w:rsid w:val="00B95C0A"/>
    <w:rsid w:val="00BA3B8B"/>
    <w:rsid w:val="00BA6838"/>
    <w:rsid w:val="00BC1461"/>
    <w:rsid w:val="00BC5AC8"/>
    <w:rsid w:val="00BC620E"/>
    <w:rsid w:val="00BC75D2"/>
    <w:rsid w:val="00BD7B99"/>
    <w:rsid w:val="00BD7FCE"/>
    <w:rsid w:val="00BF02E7"/>
    <w:rsid w:val="00BF6F91"/>
    <w:rsid w:val="00C109C3"/>
    <w:rsid w:val="00C10AEC"/>
    <w:rsid w:val="00C2035B"/>
    <w:rsid w:val="00C25610"/>
    <w:rsid w:val="00C34DFF"/>
    <w:rsid w:val="00C354A8"/>
    <w:rsid w:val="00C575E2"/>
    <w:rsid w:val="00C57F44"/>
    <w:rsid w:val="00C802A3"/>
    <w:rsid w:val="00C83E94"/>
    <w:rsid w:val="00C84CFA"/>
    <w:rsid w:val="00C85666"/>
    <w:rsid w:val="00C85BDA"/>
    <w:rsid w:val="00C86F4D"/>
    <w:rsid w:val="00C9156B"/>
    <w:rsid w:val="00CA5FA6"/>
    <w:rsid w:val="00CC0122"/>
    <w:rsid w:val="00CC0DAF"/>
    <w:rsid w:val="00CC37AD"/>
    <w:rsid w:val="00CC4E02"/>
    <w:rsid w:val="00CD41CD"/>
    <w:rsid w:val="00CE27DC"/>
    <w:rsid w:val="00CE47CE"/>
    <w:rsid w:val="00CF614D"/>
    <w:rsid w:val="00CF6903"/>
    <w:rsid w:val="00D032A7"/>
    <w:rsid w:val="00D1407C"/>
    <w:rsid w:val="00D24AAC"/>
    <w:rsid w:val="00D4017A"/>
    <w:rsid w:val="00D409EF"/>
    <w:rsid w:val="00D41691"/>
    <w:rsid w:val="00D42763"/>
    <w:rsid w:val="00D4396A"/>
    <w:rsid w:val="00D531A2"/>
    <w:rsid w:val="00D61A9C"/>
    <w:rsid w:val="00D7084B"/>
    <w:rsid w:val="00D71284"/>
    <w:rsid w:val="00D7269F"/>
    <w:rsid w:val="00D77283"/>
    <w:rsid w:val="00D83D64"/>
    <w:rsid w:val="00DA56BE"/>
    <w:rsid w:val="00DB2820"/>
    <w:rsid w:val="00DB2D68"/>
    <w:rsid w:val="00DB51B3"/>
    <w:rsid w:val="00DB7748"/>
    <w:rsid w:val="00DC4669"/>
    <w:rsid w:val="00DD023E"/>
    <w:rsid w:val="00DE148E"/>
    <w:rsid w:val="00DE1B5F"/>
    <w:rsid w:val="00DE4216"/>
    <w:rsid w:val="00DF5503"/>
    <w:rsid w:val="00E0177C"/>
    <w:rsid w:val="00E021CE"/>
    <w:rsid w:val="00E060F5"/>
    <w:rsid w:val="00E066DB"/>
    <w:rsid w:val="00E069DD"/>
    <w:rsid w:val="00E10795"/>
    <w:rsid w:val="00E145D0"/>
    <w:rsid w:val="00E14BA1"/>
    <w:rsid w:val="00E30A66"/>
    <w:rsid w:val="00E51A41"/>
    <w:rsid w:val="00E55B39"/>
    <w:rsid w:val="00E56A91"/>
    <w:rsid w:val="00E57CF3"/>
    <w:rsid w:val="00E64585"/>
    <w:rsid w:val="00E6755C"/>
    <w:rsid w:val="00E726CC"/>
    <w:rsid w:val="00E72D76"/>
    <w:rsid w:val="00E75455"/>
    <w:rsid w:val="00E81773"/>
    <w:rsid w:val="00E8405D"/>
    <w:rsid w:val="00E84AD1"/>
    <w:rsid w:val="00EA5932"/>
    <w:rsid w:val="00EA6656"/>
    <w:rsid w:val="00EA73B5"/>
    <w:rsid w:val="00EB145A"/>
    <w:rsid w:val="00EB2547"/>
    <w:rsid w:val="00EC7D90"/>
    <w:rsid w:val="00ED0838"/>
    <w:rsid w:val="00ED5755"/>
    <w:rsid w:val="00EE3200"/>
    <w:rsid w:val="00EF33F2"/>
    <w:rsid w:val="00EF67B9"/>
    <w:rsid w:val="00F06EBE"/>
    <w:rsid w:val="00F131FF"/>
    <w:rsid w:val="00F1507F"/>
    <w:rsid w:val="00F20FFC"/>
    <w:rsid w:val="00F246BA"/>
    <w:rsid w:val="00F30D9B"/>
    <w:rsid w:val="00F33732"/>
    <w:rsid w:val="00F36CE9"/>
    <w:rsid w:val="00F372AE"/>
    <w:rsid w:val="00F41ADF"/>
    <w:rsid w:val="00F50185"/>
    <w:rsid w:val="00F52E28"/>
    <w:rsid w:val="00F56A82"/>
    <w:rsid w:val="00F67571"/>
    <w:rsid w:val="00F72A91"/>
    <w:rsid w:val="00F72D1E"/>
    <w:rsid w:val="00F80684"/>
    <w:rsid w:val="00F868AE"/>
    <w:rsid w:val="00F90E7B"/>
    <w:rsid w:val="00F93C10"/>
    <w:rsid w:val="00FA4035"/>
    <w:rsid w:val="00FB6916"/>
    <w:rsid w:val="00FC477B"/>
    <w:rsid w:val="00FD34C3"/>
    <w:rsid w:val="00FE6788"/>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C993C0-B1F1-4CC4-9236-0B5A7BAA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uiPriority w:val="10"/>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paragraph" w:customStyle="1" w:styleId="Sansinterligne2">
    <w:name w:val="Sans interligne2"/>
    <w:basedOn w:val="Normal"/>
    <w:rsid w:val="00C802A3"/>
    <w:rPr>
      <w:rFonts w:ascii="Calibri" w:eastAsiaTheme="minorHAnsi" w:hAnsi="Calibri"/>
      <w:color w:val="00000A"/>
      <w:sz w:val="22"/>
      <w:szCs w:val="22"/>
      <w:lang w:eastAsia="ar-SA"/>
    </w:rPr>
  </w:style>
  <w:style w:type="character" w:customStyle="1" w:styleId="lev1">
    <w:name w:val="Élevé1"/>
    <w:basedOn w:val="Policepardfaut"/>
    <w:rsid w:val="00C802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67127154">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688747716">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73746108">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2186</Words>
  <Characters>12029</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3</cp:revision>
  <cp:lastPrinted>2019-12-03T18:24:00Z</cp:lastPrinted>
  <dcterms:created xsi:type="dcterms:W3CDTF">2020-02-13T00:28:00Z</dcterms:created>
  <dcterms:modified xsi:type="dcterms:W3CDTF">2020-02-13T00:38:00Z</dcterms:modified>
</cp:coreProperties>
</file>