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0A0F1201" wp14:editId="7F3262A3">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AFF02D9" wp14:editId="341D0D95">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CE47CE" w:rsidRPr="00385367" w:rsidRDefault="00CE47CE" w:rsidP="00CE47CE">
                            <w:pPr>
                              <w:rPr>
                                <w:rFonts w:ascii="Edwardian Script ITC" w:hAnsi="Edwardian Script ITC"/>
                                <w:sz w:val="64"/>
                                <w:szCs w:val="64"/>
                              </w:rPr>
                            </w:pPr>
                            <w:r w:rsidRPr="00385367">
                              <w:rPr>
                                <w:rFonts w:ascii="Edwardian Script ITC" w:hAnsi="Edwardian Script ITC"/>
                                <w:sz w:val="64"/>
                                <w:szCs w:val="64"/>
                              </w:rPr>
                              <w:t>La Présidence</w:t>
                            </w:r>
                          </w:p>
                          <w:p w:rsidR="00CE47CE" w:rsidRPr="00385367" w:rsidRDefault="00CE47CE"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F02D9"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CE47CE" w:rsidRPr="00385367" w:rsidRDefault="00CE47CE" w:rsidP="00CE47CE">
                      <w:pPr>
                        <w:rPr>
                          <w:rFonts w:ascii="Edwardian Script ITC" w:hAnsi="Edwardian Script ITC"/>
                          <w:sz w:val="64"/>
                          <w:szCs w:val="64"/>
                        </w:rPr>
                      </w:pPr>
                      <w:r w:rsidRPr="00385367">
                        <w:rPr>
                          <w:rFonts w:ascii="Edwardian Script ITC" w:hAnsi="Edwardian Script ITC"/>
                          <w:sz w:val="64"/>
                          <w:szCs w:val="64"/>
                        </w:rPr>
                        <w:t>La Présidence</w:t>
                      </w:r>
                    </w:p>
                    <w:p w:rsidR="00CE47CE" w:rsidRPr="00385367" w:rsidRDefault="00CE47CE"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0EA6C2" wp14:editId="6E20251C">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EAE862"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D42763" w:rsidP="00CE47CE">
      <w:pPr>
        <w:tabs>
          <w:tab w:val="left" w:pos="3240"/>
        </w:tabs>
        <w:jc w:val="center"/>
        <w:rPr>
          <w:rFonts w:ascii="Cambria" w:hAnsi="Cambria" w:cs="Arial"/>
          <w:b/>
          <w:i/>
        </w:rPr>
      </w:pPr>
      <w:r>
        <w:rPr>
          <w:rFonts w:ascii="Cambria" w:hAnsi="Cambria" w:cs="Arial"/>
          <w:b/>
          <w:i/>
        </w:rPr>
        <w:t xml:space="preserve">Mercredi </w:t>
      </w:r>
      <w:r w:rsidR="00C34DFF">
        <w:rPr>
          <w:rFonts w:ascii="Cambria" w:hAnsi="Cambria" w:cs="Arial"/>
          <w:b/>
          <w:i/>
        </w:rPr>
        <w:t>21</w:t>
      </w:r>
      <w:r w:rsidR="00CE47CE" w:rsidRPr="00C21220">
        <w:rPr>
          <w:rFonts w:ascii="Cambria" w:hAnsi="Cambria" w:cs="Arial"/>
          <w:b/>
          <w:i/>
        </w:rPr>
        <w:t xml:space="preserve"> </w:t>
      </w:r>
      <w:r w:rsidR="004F2666">
        <w:rPr>
          <w:rFonts w:ascii="Cambria" w:hAnsi="Cambria" w:cs="Arial"/>
          <w:b/>
          <w:i/>
        </w:rPr>
        <w:t>août</w:t>
      </w:r>
      <w:r>
        <w:rPr>
          <w:rFonts w:ascii="Cambria" w:hAnsi="Cambria" w:cs="Arial"/>
          <w:b/>
          <w:i/>
        </w:rPr>
        <w:t xml:space="preserve"> </w:t>
      </w:r>
      <w:r w:rsidR="00CE47CE" w:rsidRPr="00C21220">
        <w:rPr>
          <w:rFonts w:ascii="Cambria" w:hAnsi="Cambria" w:cs="Arial"/>
          <w:b/>
          <w:i/>
        </w:rPr>
        <w:t>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623C8BB2" wp14:editId="47C8147D">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A8260"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5F67A7" w:rsidRDefault="005F67A7" w:rsidP="005F67A7">
      <w:pPr>
        <w:jc w:val="both"/>
        <w:rPr>
          <w:rFonts w:ascii="Cambria" w:hAnsi="Cambria"/>
        </w:rPr>
      </w:pPr>
    </w:p>
    <w:p w:rsidR="007A6288" w:rsidRPr="009A0131" w:rsidRDefault="007A6288" w:rsidP="007A6288">
      <w:pPr>
        <w:pStyle w:val="Sansinterligne"/>
        <w:jc w:val="both"/>
        <w:rPr>
          <w:rFonts w:ascii="Cambria" w:hAnsi="Cambria" w:cs="Arial"/>
          <w:b/>
        </w:rPr>
      </w:pPr>
      <w:r w:rsidRPr="009A0131">
        <w:rPr>
          <w:rFonts w:ascii="Cambria" w:hAnsi="Cambria"/>
          <w:b/>
        </w:rPr>
        <w:t>Soutien aux municipalités : subventions de la Délégation pour le développement des communes</w:t>
      </w:r>
    </w:p>
    <w:p w:rsidR="007A6288" w:rsidRPr="009A0131" w:rsidRDefault="007A6288" w:rsidP="007A6288">
      <w:pPr>
        <w:jc w:val="both"/>
        <w:rPr>
          <w:rFonts w:ascii="Cambria" w:hAnsi="Cambria"/>
          <w:b/>
        </w:rPr>
      </w:pPr>
    </w:p>
    <w:p w:rsidR="007A6288" w:rsidRPr="009A0131" w:rsidRDefault="007A6288" w:rsidP="007A6288">
      <w:pPr>
        <w:spacing w:after="120"/>
        <w:jc w:val="both"/>
        <w:rPr>
          <w:rFonts w:asciiTheme="majorHAnsi" w:hAnsiTheme="majorHAnsi"/>
        </w:rPr>
      </w:pPr>
      <w:r w:rsidRPr="009A0131">
        <w:rPr>
          <w:rFonts w:asciiTheme="majorHAnsi" w:hAnsiTheme="majorHAnsi"/>
        </w:rPr>
        <w:t xml:space="preserve">Le Conseil des ministres a validé 5 nouvelles subventions d’opérations d’investissements communaux au titre des demandes de concours financier faites au Pays par les communes de </w:t>
      </w:r>
      <w:proofErr w:type="spellStart"/>
      <w:r w:rsidRPr="009A0131">
        <w:rPr>
          <w:rFonts w:asciiTheme="majorHAnsi" w:hAnsiTheme="majorHAnsi"/>
        </w:rPr>
        <w:t>Nuku</w:t>
      </w:r>
      <w:proofErr w:type="spellEnd"/>
      <w:r w:rsidRPr="009A0131">
        <w:rPr>
          <w:rFonts w:asciiTheme="majorHAnsi" w:hAnsiTheme="majorHAnsi"/>
        </w:rPr>
        <w:t xml:space="preserve"> </w:t>
      </w:r>
      <w:proofErr w:type="spellStart"/>
      <w:r w:rsidRPr="009A0131">
        <w:rPr>
          <w:rFonts w:asciiTheme="majorHAnsi" w:hAnsiTheme="majorHAnsi"/>
        </w:rPr>
        <w:t>Hiva</w:t>
      </w:r>
      <w:proofErr w:type="spellEnd"/>
      <w:r w:rsidRPr="009A0131">
        <w:rPr>
          <w:rFonts w:asciiTheme="majorHAnsi" w:hAnsiTheme="majorHAnsi"/>
        </w:rPr>
        <w:t xml:space="preserve">, </w:t>
      </w:r>
      <w:proofErr w:type="spellStart"/>
      <w:r w:rsidRPr="009A0131">
        <w:rPr>
          <w:rFonts w:asciiTheme="majorHAnsi" w:hAnsiTheme="majorHAnsi"/>
        </w:rPr>
        <w:t>Tureia</w:t>
      </w:r>
      <w:proofErr w:type="spellEnd"/>
      <w:r w:rsidRPr="009A0131">
        <w:rPr>
          <w:rFonts w:asciiTheme="majorHAnsi" w:hAnsiTheme="majorHAnsi"/>
        </w:rPr>
        <w:t xml:space="preserve">, </w:t>
      </w:r>
      <w:proofErr w:type="spellStart"/>
      <w:r w:rsidRPr="009A0131">
        <w:rPr>
          <w:rFonts w:asciiTheme="majorHAnsi" w:hAnsiTheme="majorHAnsi"/>
        </w:rPr>
        <w:t>Taputapuatea</w:t>
      </w:r>
      <w:proofErr w:type="spellEnd"/>
      <w:r w:rsidRPr="009A0131">
        <w:rPr>
          <w:rFonts w:asciiTheme="majorHAnsi" w:hAnsiTheme="majorHAnsi"/>
        </w:rPr>
        <w:t xml:space="preserve">, </w:t>
      </w:r>
      <w:proofErr w:type="spellStart"/>
      <w:r w:rsidRPr="009A0131">
        <w:rPr>
          <w:rFonts w:asciiTheme="majorHAnsi" w:hAnsiTheme="majorHAnsi"/>
        </w:rPr>
        <w:t>Tumaraa</w:t>
      </w:r>
      <w:proofErr w:type="spellEnd"/>
      <w:r w:rsidRPr="009A0131">
        <w:rPr>
          <w:rFonts w:asciiTheme="majorHAnsi" w:hAnsiTheme="majorHAnsi"/>
        </w:rPr>
        <w:t xml:space="preserve"> et Pirae.</w:t>
      </w:r>
    </w:p>
    <w:p w:rsidR="007A6288" w:rsidRPr="009A0131" w:rsidRDefault="007A6288" w:rsidP="007A6288">
      <w:pPr>
        <w:spacing w:after="120"/>
        <w:jc w:val="both"/>
        <w:rPr>
          <w:rFonts w:asciiTheme="majorHAnsi" w:hAnsiTheme="majorHAnsi"/>
          <w:color w:val="000000" w:themeColor="text1"/>
        </w:rPr>
      </w:pPr>
      <w:r w:rsidRPr="009A0131">
        <w:rPr>
          <w:rFonts w:asciiTheme="majorHAnsi" w:hAnsiTheme="majorHAnsi"/>
        </w:rPr>
        <w:t xml:space="preserve">Ces opérations représentent un investissement total cumulé d’environ 104 millions </w:t>
      </w:r>
      <w:proofErr w:type="spellStart"/>
      <w:r w:rsidRPr="009A0131">
        <w:rPr>
          <w:rFonts w:asciiTheme="majorHAnsi" w:hAnsiTheme="majorHAnsi"/>
        </w:rPr>
        <w:t>Fcfp</w:t>
      </w:r>
      <w:proofErr w:type="spellEnd"/>
      <w:r w:rsidRPr="009A0131">
        <w:rPr>
          <w:rFonts w:asciiTheme="majorHAnsi" w:hAnsiTheme="majorHAnsi"/>
        </w:rPr>
        <w:t xml:space="preserve"> et bénéficient d’un concours de la Polynésie française à concurrence de </w:t>
      </w:r>
      <w:r w:rsidRPr="009A0131">
        <w:rPr>
          <w:rFonts w:asciiTheme="majorHAnsi" w:hAnsiTheme="majorHAnsi"/>
          <w:color w:val="000000" w:themeColor="text1"/>
        </w:rPr>
        <w:t xml:space="preserve">près de 52 millions </w:t>
      </w:r>
      <w:proofErr w:type="spellStart"/>
      <w:r w:rsidRPr="009A0131">
        <w:rPr>
          <w:rFonts w:asciiTheme="majorHAnsi" w:hAnsiTheme="majorHAnsi"/>
        </w:rPr>
        <w:t>Fcfp</w:t>
      </w:r>
      <w:proofErr w:type="spellEnd"/>
      <w:r w:rsidRPr="009A0131">
        <w:rPr>
          <w:rFonts w:asciiTheme="majorHAnsi" w:hAnsiTheme="majorHAnsi"/>
          <w:color w:val="000000" w:themeColor="text1"/>
        </w:rPr>
        <w:t>, soit 50%.</w:t>
      </w:r>
    </w:p>
    <w:p w:rsidR="007A6288" w:rsidRPr="009A0131" w:rsidRDefault="007A6288" w:rsidP="007A6288">
      <w:pPr>
        <w:spacing w:after="120"/>
        <w:jc w:val="both"/>
        <w:rPr>
          <w:rFonts w:asciiTheme="majorHAnsi" w:hAnsiTheme="majorHAnsi"/>
        </w:rPr>
      </w:pPr>
      <w:r w:rsidRPr="009A0131">
        <w:rPr>
          <w:rFonts w:asciiTheme="majorHAnsi" w:hAnsiTheme="majorHAnsi"/>
        </w:rPr>
        <w:t>Deux arrêtés validés concernent des subventions accordées pour l’acquisition d’un engin et d’un véhicule. Les trois derniers concernent des opérations d’investissements structurants telles que :</w:t>
      </w:r>
    </w:p>
    <w:p w:rsidR="007A6288" w:rsidRPr="009A0131" w:rsidRDefault="007A6288" w:rsidP="007A6288">
      <w:pPr>
        <w:pStyle w:val="Paragraphedeliste"/>
        <w:numPr>
          <w:ilvl w:val="0"/>
          <w:numId w:val="21"/>
        </w:numPr>
        <w:spacing w:after="120"/>
        <w:jc w:val="both"/>
        <w:rPr>
          <w:bCs/>
          <w:iCs/>
          <w:sz w:val="24"/>
          <w:szCs w:val="24"/>
        </w:rPr>
      </w:pPr>
      <w:r w:rsidRPr="009A0131">
        <w:rPr>
          <w:rFonts w:asciiTheme="majorHAnsi" w:hAnsiTheme="majorHAnsi"/>
          <w:sz w:val="24"/>
          <w:szCs w:val="24"/>
        </w:rPr>
        <w:t xml:space="preserve">La rénovation et le réaménagement d’un bâtiment à usage de hangar à </w:t>
      </w:r>
      <w:proofErr w:type="spellStart"/>
      <w:r w:rsidRPr="009A0131">
        <w:rPr>
          <w:rFonts w:asciiTheme="majorHAnsi" w:hAnsiTheme="majorHAnsi"/>
          <w:sz w:val="24"/>
          <w:szCs w:val="24"/>
        </w:rPr>
        <w:t>Hatiheu</w:t>
      </w:r>
      <w:proofErr w:type="spellEnd"/>
      <w:r>
        <w:rPr>
          <w:rFonts w:asciiTheme="majorHAnsi" w:hAnsiTheme="majorHAnsi"/>
          <w:sz w:val="24"/>
          <w:szCs w:val="24"/>
        </w:rPr>
        <w:t>,</w:t>
      </w:r>
      <w:r w:rsidRPr="009A0131">
        <w:rPr>
          <w:rFonts w:asciiTheme="majorHAnsi" w:hAnsiTheme="majorHAnsi"/>
          <w:sz w:val="24"/>
          <w:szCs w:val="24"/>
        </w:rPr>
        <w:t xml:space="preserve"> sur l’ile de </w:t>
      </w:r>
      <w:proofErr w:type="spellStart"/>
      <w:r>
        <w:rPr>
          <w:rFonts w:asciiTheme="majorHAnsi" w:hAnsiTheme="majorHAnsi"/>
          <w:sz w:val="24"/>
          <w:szCs w:val="24"/>
        </w:rPr>
        <w:t>Nuku</w:t>
      </w:r>
      <w:proofErr w:type="spellEnd"/>
      <w:r>
        <w:rPr>
          <w:rFonts w:asciiTheme="majorHAnsi" w:hAnsiTheme="majorHAnsi"/>
          <w:sz w:val="24"/>
          <w:szCs w:val="24"/>
        </w:rPr>
        <w:t xml:space="preserve"> </w:t>
      </w:r>
      <w:proofErr w:type="spellStart"/>
      <w:r w:rsidRPr="009A0131">
        <w:rPr>
          <w:rFonts w:asciiTheme="majorHAnsi" w:hAnsiTheme="majorHAnsi"/>
          <w:sz w:val="24"/>
          <w:szCs w:val="24"/>
        </w:rPr>
        <w:t>Hiva</w:t>
      </w:r>
      <w:proofErr w:type="spellEnd"/>
      <w:r>
        <w:rPr>
          <w:rFonts w:asciiTheme="majorHAnsi" w:hAnsiTheme="majorHAnsi"/>
          <w:sz w:val="24"/>
          <w:szCs w:val="24"/>
        </w:rPr>
        <w:t>,</w:t>
      </w:r>
      <w:r w:rsidRPr="009A0131">
        <w:rPr>
          <w:rFonts w:asciiTheme="majorHAnsi" w:hAnsiTheme="majorHAnsi"/>
          <w:sz w:val="24"/>
          <w:szCs w:val="24"/>
        </w:rPr>
        <w:t xml:space="preserve"> pour un coût total s’élevant à 20.918.602 </w:t>
      </w:r>
      <w:proofErr w:type="spellStart"/>
      <w:r w:rsidRPr="009A0131">
        <w:rPr>
          <w:rFonts w:asciiTheme="majorHAnsi" w:hAnsiTheme="majorHAnsi"/>
          <w:sz w:val="24"/>
          <w:szCs w:val="24"/>
        </w:rPr>
        <w:t>Fcfp</w:t>
      </w:r>
      <w:proofErr w:type="spellEnd"/>
      <w:r>
        <w:rPr>
          <w:rFonts w:asciiTheme="majorHAnsi" w:hAnsiTheme="majorHAnsi"/>
          <w:sz w:val="24"/>
          <w:szCs w:val="24"/>
        </w:rPr>
        <w:t>,</w:t>
      </w:r>
      <w:r w:rsidRPr="009A0131">
        <w:rPr>
          <w:rFonts w:asciiTheme="majorHAnsi" w:hAnsiTheme="majorHAnsi"/>
          <w:sz w:val="24"/>
          <w:szCs w:val="24"/>
        </w:rPr>
        <w:t xml:space="preserve"> avec une participation du Pays à hauteur de 50%, soit 10.459.301 </w:t>
      </w:r>
      <w:proofErr w:type="spellStart"/>
      <w:r w:rsidRPr="009A0131">
        <w:rPr>
          <w:rFonts w:asciiTheme="majorHAnsi" w:hAnsiTheme="majorHAnsi"/>
          <w:sz w:val="24"/>
          <w:szCs w:val="24"/>
        </w:rPr>
        <w:t>Fcfp</w:t>
      </w:r>
      <w:proofErr w:type="spellEnd"/>
      <w:r w:rsidRPr="009A0131">
        <w:rPr>
          <w:rFonts w:asciiTheme="majorHAnsi" w:hAnsiTheme="majorHAnsi"/>
          <w:sz w:val="24"/>
          <w:szCs w:val="24"/>
        </w:rPr>
        <w:t>. Le nouveau bâtiment offrira aux producteurs locaux un lieu de stockage de leur production, tant  stratégique que sécurisé, en attendant le départ des bateaux vers Papeete.</w:t>
      </w:r>
    </w:p>
    <w:p w:rsidR="007A6288" w:rsidRPr="009A0131" w:rsidRDefault="007A6288" w:rsidP="007A6288">
      <w:pPr>
        <w:pStyle w:val="Paragraphedeliste"/>
        <w:spacing w:after="120"/>
        <w:ind w:left="1134"/>
        <w:jc w:val="both"/>
        <w:rPr>
          <w:bCs/>
          <w:iCs/>
          <w:sz w:val="24"/>
          <w:szCs w:val="24"/>
        </w:rPr>
      </w:pPr>
    </w:p>
    <w:p w:rsidR="007A6288" w:rsidRPr="009A0131" w:rsidRDefault="007A6288" w:rsidP="007A6288">
      <w:pPr>
        <w:pStyle w:val="Paragraphedeliste"/>
        <w:numPr>
          <w:ilvl w:val="0"/>
          <w:numId w:val="21"/>
        </w:numPr>
        <w:spacing w:after="120"/>
        <w:jc w:val="both"/>
        <w:rPr>
          <w:rFonts w:asciiTheme="majorHAnsi" w:hAnsiTheme="majorHAnsi"/>
          <w:sz w:val="24"/>
          <w:szCs w:val="24"/>
        </w:rPr>
      </w:pPr>
      <w:r w:rsidRPr="009A0131">
        <w:rPr>
          <w:rFonts w:asciiTheme="majorHAnsi" w:hAnsiTheme="majorHAnsi"/>
          <w:sz w:val="24"/>
          <w:szCs w:val="24"/>
        </w:rPr>
        <w:t xml:space="preserve">La 2ème tranche de la 5ème phase du programme de bétonnage de servitudes à </w:t>
      </w:r>
      <w:proofErr w:type="spellStart"/>
      <w:r w:rsidRPr="009A0131">
        <w:rPr>
          <w:rFonts w:asciiTheme="majorHAnsi" w:hAnsiTheme="majorHAnsi"/>
          <w:sz w:val="24"/>
          <w:szCs w:val="24"/>
        </w:rPr>
        <w:t>Taputapuatea</w:t>
      </w:r>
      <w:proofErr w:type="spellEnd"/>
      <w:r w:rsidRPr="009A0131">
        <w:rPr>
          <w:rFonts w:asciiTheme="majorHAnsi" w:hAnsiTheme="majorHAnsi"/>
          <w:sz w:val="24"/>
          <w:szCs w:val="24"/>
        </w:rPr>
        <w:t xml:space="preserve">, auquel le Pays contribue pour un montant de 15 millions </w:t>
      </w:r>
      <w:proofErr w:type="spellStart"/>
      <w:r w:rsidRPr="009A0131">
        <w:rPr>
          <w:rFonts w:asciiTheme="majorHAnsi" w:hAnsiTheme="majorHAnsi"/>
          <w:sz w:val="24"/>
          <w:szCs w:val="24"/>
        </w:rPr>
        <w:t>Fcfp</w:t>
      </w:r>
      <w:proofErr w:type="spellEnd"/>
      <w:r>
        <w:rPr>
          <w:rFonts w:asciiTheme="majorHAnsi" w:hAnsiTheme="majorHAnsi"/>
          <w:sz w:val="24"/>
          <w:szCs w:val="24"/>
        </w:rPr>
        <w:t>,</w:t>
      </w:r>
      <w:r w:rsidRPr="009A0131">
        <w:rPr>
          <w:rFonts w:asciiTheme="majorHAnsi" w:hAnsiTheme="majorHAnsi"/>
          <w:sz w:val="24"/>
          <w:szCs w:val="24"/>
        </w:rPr>
        <w:t xml:space="preserve"> sur un montant total de 30 millions </w:t>
      </w:r>
      <w:proofErr w:type="spellStart"/>
      <w:r w:rsidRPr="009A0131">
        <w:rPr>
          <w:rFonts w:asciiTheme="majorHAnsi" w:hAnsiTheme="majorHAnsi"/>
          <w:sz w:val="24"/>
          <w:szCs w:val="24"/>
        </w:rPr>
        <w:t>Fcfp</w:t>
      </w:r>
      <w:proofErr w:type="spellEnd"/>
      <w:r w:rsidRPr="009A0131">
        <w:rPr>
          <w:rFonts w:asciiTheme="majorHAnsi" w:hAnsiTheme="majorHAnsi"/>
          <w:sz w:val="24"/>
          <w:szCs w:val="24"/>
        </w:rPr>
        <w:t>, soit un taux de financement de 50%. Ce projet intervient dans la continuité d’un programme de réfection et vise à répondre à la problématique d’accès des services communaux dans les quartiers due à l’état d’érosion avancée des servitudes.</w:t>
      </w:r>
    </w:p>
    <w:p w:rsidR="007A6288" w:rsidRPr="009A0131" w:rsidRDefault="007A6288" w:rsidP="007A6288">
      <w:pPr>
        <w:pStyle w:val="Paragraphedeliste"/>
        <w:spacing w:after="120"/>
        <w:ind w:left="1134"/>
        <w:jc w:val="both"/>
        <w:rPr>
          <w:rFonts w:asciiTheme="majorHAnsi" w:hAnsiTheme="majorHAnsi"/>
          <w:sz w:val="24"/>
          <w:szCs w:val="24"/>
        </w:rPr>
      </w:pPr>
    </w:p>
    <w:p w:rsidR="007A6288" w:rsidRPr="009A0131" w:rsidRDefault="007A6288" w:rsidP="007A6288">
      <w:pPr>
        <w:pStyle w:val="Paragraphedeliste"/>
        <w:numPr>
          <w:ilvl w:val="0"/>
          <w:numId w:val="21"/>
        </w:numPr>
        <w:spacing w:after="120"/>
        <w:jc w:val="both"/>
        <w:rPr>
          <w:rFonts w:asciiTheme="majorHAnsi" w:hAnsiTheme="majorHAnsi"/>
          <w:sz w:val="24"/>
          <w:szCs w:val="24"/>
        </w:rPr>
      </w:pPr>
      <w:r w:rsidRPr="009A0131">
        <w:rPr>
          <w:rFonts w:asciiTheme="majorHAnsi" w:hAnsiTheme="majorHAnsi"/>
          <w:sz w:val="24"/>
          <w:szCs w:val="24"/>
        </w:rPr>
        <w:t xml:space="preserve">Les travaux de remise à niveau de l'éclairage public de la commune de </w:t>
      </w:r>
      <w:proofErr w:type="spellStart"/>
      <w:r w:rsidRPr="009A0131">
        <w:rPr>
          <w:rFonts w:asciiTheme="majorHAnsi" w:hAnsiTheme="majorHAnsi"/>
          <w:sz w:val="24"/>
          <w:szCs w:val="24"/>
        </w:rPr>
        <w:t>Tumaraa</w:t>
      </w:r>
      <w:proofErr w:type="spellEnd"/>
      <w:r w:rsidRPr="009A0131">
        <w:rPr>
          <w:rFonts w:asciiTheme="majorHAnsi" w:hAnsiTheme="majorHAnsi"/>
          <w:sz w:val="24"/>
          <w:szCs w:val="24"/>
        </w:rPr>
        <w:t xml:space="preserve">, bénéficient d’une contribution du Pays d’un montant de 12.186.562 </w:t>
      </w:r>
      <w:proofErr w:type="spellStart"/>
      <w:r w:rsidRPr="009A0131">
        <w:rPr>
          <w:rFonts w:asciiTheme="majorHAnsi" w:hAnsiTheme="majorHAnsi"/>
          <w:sz w:val="24"/>
          <w:szCs w:val="24"/>
        </w:rPr>
        <w:t>Fcfp</w:t>
      </w:r>
      <w:proofErr w:type="spellEnd"/>
      <w:r>
        <w:rPr>
          <w:rFonts w:asciiTheme="majorHAnsi" w:hAnsiTheme="majorHAnsi"/>
          <w:sz w:val="24"/>
          <w:szCs w:val="24"/>
        </w:rPr>
        <w:t>,</w:t>
      </w:r>
      <w:r w:rsidRPr="009A0131">
        <w:rPr>
          <w:rFonts w:asciiTheme="majorHAnsi" w:hAnsiTheme="majorHAnsi"/>
          <w:sz w:val="24"/>
          <w:szCs w:val="24"/>
        </w:rPr>
        <w:t xml:space="preserve"> sur un montant total de 30.466.405 </w:t>
      </w:r>
      <w:proofErr w:type="spellStart"/>
      <w:r w:rsidRPr="009A0131">
        <w:rPr>
          <w:rFonts w:asciiTheme="majorHAnsi" w:hAnsiTheme="majorHAnsi"/>
          <w:sz w:val="24"/>
          <w:szCs w:val="24"/>
        </w:rPr>
        <w:t>Fcfp</w:t>
      </w:r>
      <w:proofErr w:type="spellEnd"/>
      <w:r w:rsidRPr="009A0131">
        <w:rPr>
          <w:rFonts w:asciiTheme="majorHAnsi" w:hAnsiTheme="majorHAnsi"/>
          <w:sz w:val="24"/>
          <w:szCs w:val="24"/>
        </w:rPr>
        <w:t xml:space="preserve">, soit un taux de financement de 40%. Une première opération similaire, achevée en 2017, a permis à la commune d’effectuer un bilan dont les conclusions positives </w:t>
      </w:r>
      <w:r w:rsidRPr="009A0131">
        <w:rPr>
          <w:rFonts w:asciiTheme="majorHAnsi" w:hAnsiTheme="majorHAnsi"/>
          <w:sz w:val="24"/>
          <w:szCs w:val="24"/>
        </w:rPr>
        <w:lastRenderedPageBreak/>
        <w:t xml:space="preserve">l’ont amenée à envisager une seconde remise à niveau du parc d’éclairage public avec les mêmes solutions. Cette nouvelle opération consiste à remplacer 217 luminaires d’ancienne génération par des luminaires à LED et à ajouter 21 points lumineux pour conforter la sécurité routière sur la portion de route de ceinture entre </w:t>
      </w:r>
      <w:proofErr w:type="spellStart"/>
      <w:r w:rsidRPr="009A0131">
        <w:rPr>
          <w:rFonts w:asciiTheme="majorHAnsi" w:hAnsiTheme="majorHAnsi"/>
          <w:sz w:val="24"/>
          <w:szCs w:val="24"/>
        </w:rPr>
        <w:t>Tevaitoa</w:t>
      </w:r>
      <w:proofErr w:type="spellEnd"/>
      <w:r w:rsidRPr="009A0131">
        <w:rPr>
          <w:rFonts w:asciiTheme="majorHAnsi" w:hAnsiTheme="majorHAnsi"/>
          <w:sz w:val="24"/>
          <w:szCs w:val="24"/>
        </w:rPr>
        <w:t xml:space="preserve"> et </w:t>
      </w:r>
      <w:proofErr w:type="spellStart"/>
      <w:r w:rsidRPr="009A0131">
        <w:rPr>
          <w:rFonts w:asciiTheme="majorHAnsi" w:hAnsiTheme="majorHAnsi"/>
          <w:sz w:val="24"/>
          <w:szCs w:val="24"/>
        </w:rPr>
        <w:t>Fetuna</w:t>
      </w:r>
      <w:proofErr w:type="spellEnd"/>
      <w:r w:rsidRPr="009A0131">
        <w:rPr>
          <w:rFonts w:asciiTheme="majorHAnsi" w:hAnsiTheme="majorHAnsi"/>
          <w:sz w:val="24"/>
          <w:szCs w:val="24"/>
        </w:rPr>
        <w:t xml:space="preserve">. </w:t>
      </w:r>
    </w:p>
    <w:p w:rsidR="007A6288" w:rsidRPr="009A0131" w:rsidRDefault="007A6288" w:rsidP="007A6288">
      <w:pPr>
        <w:spacing w:after="120"/>
        <w:jc w:val="both"/>
        <w:rPr>
          <w:rFonts w:asciiTheme="majorHAnsi" w:hAnsiTheme="majorHAnsi"/>
        </w:rPr>
      </w:pPr>
      <w:r w:rsidRPr="009A0131">
        <w:rPr>
          <w:rFonts w:asciiTheme="majorHAnsi" w:hAnsiTheme="majorHAnsi"/>
        </w:rPr>
        <w:t xml:space="preserve">Au travers de l’ensemble de ces financements, le Pays maintient avec constance son soutien </w:t>
      </w:r>
      <w:r>
        <w:rPr>
          <w:rFonts w:asciiTheme="majorHAnsi" w:hAnsiTheme="majorHAnsi"/>
        </w:rPr>
        <w:t>aux</w:t>
      </w:r>
      <w:r w:rsidRPr="009A0131">
        <w:rPr>
          <w:rFonts w:asciiTheme="majorHAnsi" w:hAnsiTheme="majorHAnsi"/>
        </w:rPr>
        <w:t xml:space="preserve"> opérations participant à l’amélioration des conditions et la qualité de vie des populations d</w:t>
      </w:r>
      <w:r>
        <w:rPr>
          <w:rFonts w:asciiTheme="majorHAnsi" w:hAnsiTheme="majorHAnsi"/>
        </w:rPr>
        <w:t>ans les communes de</w:t>
      </w:r>
      <w:r w:rsidRPr="009A0131">
        <w:rPr>
          <w:rFonts w:asciiTheme="majorHAnsi" w:hAnsiTheme="majorHAnsi"/>
        </w:rPr>
        <w:t xml:space="preserve"> Polynésie.</w:t>
      </w:r>
    </w:p>
    <w:p w:rsidR="007A6288" w:rsidRPr="009F5092" w:rsidRDefault="007A6288" w:rsidP="007A6288">
      <w:pPr>
        <w:spacing w:after="120"/>
        <w:ind w:firstLine="851"/>
        <w:jc w:val="both"/>
        <w:rPr>
          <w:rFonts w:asciiTheme="majorHAnsi" w:hAnsiTheme="majorHAnsi"/>
        </w:rPr>
      </w:pPr>
    </w:p>
    <w:p w:rsidR="007A6288" w:rsidRPr="00624A92" w:rsidRDefault="007A6288" w:rsidP="007A6288">
      <w:pPr>
        <w:pStyle w:val="-LettreObjetGEDA"/>
        <w:tabs>
          <w:tab w:val="left" w:pos="709"/>
        </w:tabs>
        <w:ind w:left="-108" w:firstLine="0"/>
        <w:rPr>
          <w:rFonts w:ascii="Cambria" w:hAnsi="Cambria"/>
          <w:b/>
          <w:noProof w:val="0"/>
        </w:rPr>
      </w:pPr>
      <w:r>
        <w:rPr>
          <w:rFonts w:ascii="Cambria" w:hAnsi="Cambria"/>
          <w:b/>
          <w:noProof w:val="0"/>
        </w:rPr>
        <w:t>Elaboration de la stratégie de formation de l’économie bleue</w:t>
      </w:r>
    </w:p>
    <w:p w:rsidR="007A6288" w:rsidRPr="00624A92" w:rsidRDefault="007A6288" w:rsidP="007A6288">
      <w:pPr>
        <w:pStyle w:val="-LettreTexteGEDA"/>
        <w:spacing w:before="0"/>
        <w:ind w:firstLine="0"/>
        <w:rPr>
          <w:rFonts w:ascii="Cambria" w:hAnsi="Cambria"/>
        </w:rPr>
      </w:pPr>
    </w:p>
    <w:p w:rsidR="007A6288" w:rsidRPr="003064E7" w:rsidRDefault="007A6288" w:rsidP="007A6288">
      <w:pPr>
        <w:pStyle w:val="-ActeAttenduVuGEDA"/>
        <w:numPr>
          <w:ilvl w:val="0"/>
          <w:numId w:val="0"/>
        </w:numPr>
        <w:rPr>
          <w:rFonts w:ascii="Cambria" w:hAnsi="Cambria"/>
          <w:sz w:val="24"/>
          <w:szCs w:val="24"/>
        </w:rPr>
      </w:pPr>
      <w:r w:rsidRPr="003064E7">
        <w:rPr>
          <w:rFonts w:ascii="Cambria" w:hAnsi="Cambria"/>
          <w:sz w:val="24"/>
          <w:szCs w:val="24"/>
        </w:rPr>
        <w:t xml:space="preserve">L’économie bleue, secteur à fort potentiel, est un des moteurs du développement durable de la Polynésie française. La zone économique exclusive sur laquelle la Polynésie française exerce ses compétences constitue un atout qu’il convient de mieux valoriser, tout en restant vigilant quant à la préservation des ressources naturelles et au respect de la biodiversité. </w:t>
      </w:r>
    </w:p>
    <w:p w:rsidR="007A6288" w:rsidRPr="003064E7" w:rsidRDefault="007A6288" w:rsidP="007A6288">
      <w:pPr>
        <w:pStyle w:val="-ActeAttenduVuGEDA"/>
        <w:numPr>
          <w:ilvl w:val="0"/>
          <w:numId w:val="0"/>
        </w:numPr>
        <w:rPr>
          <w:rFonts w:ascii="Cambria" w:hAnsi="Cambria"/>
          <w:sz w:val="24"/>
          <w:szCs w:val="24"/>
        </w:rPr>
      </w:pPr>
      <w:r w:rsidRPr="003064E7">
        <w:rPr>
          <w:rFonts w:ascii="Cambria" w:hAnsi="Cambria"/>
          <w:sz w:val="24"/>
          <w:szCs w:val="24"/>
        </w:rPr>
        <w:t>Le Gouvernement souhaite impulser une forte dynamique de développement de l’économie bleue. A ce titre, il est essentiel que la maritimisation de la formation soit une priorité de la politique publique.</w:t>
      </w:r>
    </w:p>
    <w:p w:rsidR="007A6288" w:rsidRPr="003064E7" w:rsidRDefault="007A6288" w:rsidP="007A6288">
      <w:pPr>
        <w:pStyle w:val="-ActeAttenduVuGEDA"/>
        <w:numPr>
          <w:ilvl w:val="0"/>
          <w:numId w:val="0"/>
        </w:numPr>
        <w:rPr>
          <w:rFonts w:ascii="Cambria" w:hAnsi="Cambria"/>
          <w:sz w:val="24"/>
          <w:szCs w:val="24"/>
        </w:rPr>
      </w:pPr>
      <w:r w:rsidRPr="003064E7">
        <w:rPr>
          <w:rFonts w:ascii="Cambria" w:hAnsi="Cambria"/>
          <w:sz w:val="24"/>
          <w:szCs w:val="24"/>
        </w:rPr>
        <w:t xml:space="preserve">L’enjeu est aujourd’hui de doter le Pays d’une feuille de route partagée par tous, permettant d’atteindre les objectifs fixés. C’est dans ce sens que le Conseil des </w:t>
      </w:r>
      <w:r>
        <w:rPr>
          <w:rFonts w:ascii="Cambria" w:hAnsi="Cambria"/>
          <w:sz w:val="24"/>
          <w:szCs w:val="24"/>
        </w:rPr>
        <w:t>m</w:t>
      </w:r>
      <w:r w:rsidRPr="003064E7">
        <w:rPr>
          <w:rFonts w:ascii="Cambria" w:hAnsi="Cambria"/>
          <w:sz w:val="24"/>
          <w:szCs w:val="24"/>
        </w:rPr>
        <w:t xml:space="preserve">inistres a validé la proposition du Vice-président, ministre en charge de l’économie bleue, de mener une étude stratégique sur la formation dans l’ensemble du secteur. </w:t>
      </w:r>
    </w:p>
    <w:p w:rsidR="007A6288" w:rsidRPr="003064E7" w:rsidRDefault="007A6288" w:rsidP="007A6288">
      <w:pPr>
        <w:pStyle w:val="-ActeAttenduVuGEDA"/>
        <w:numPr>
          <w:ilvl w:val="0"/>
          <w:numId w:val="0"/>
        </w:numPr>
        <w:rPr>
          <w:rFonts w:ascii="Cambria" w:hAnsi="Cambria"/>
          <w:sz w:val="24"/>
          <w:szCs w:val="24"/>
        </w:rPr>
      </w:pPr>
      <w:r w:rsidRPr="003064E7">
        <w:rPr>
          <w:rFonts w:ascii="Cambria" w:hAnsi="Cambria"/>
          <w:sz w:val="24"/>
          <w:szCs w:val="24"/>
        </w:rPr>
        <w:t>Le résultat de cette étude permettra la mise en place d’outils de prise de décision et aboutira notamment à :</w:t>
      </w:r>
    </w:p>
    <w:p w:rsidR="007A6288" w:rsidRPr="003064E7" w:rsidRDefault="007A6288" w:rsidP="007A6288">
      <w:pPr>
        <w:pStyle w:val="-ActeAttenduVuGEDA"/>
        <w:numPr>
          <w:ilvl w:val="0"/>
          <w:numId w:val="20"/>
        </w:numPr>
        <w:rPr>
          <w:rFonts w:ascii="Cambria" w:hAnsi="Cambria"/>
          <w:sz w:val="24"/>
          <w:szCs w:val="24"/>
        </w:rPr>
      </w:pPr>
      <w:r w:rsidRPr="003064E7">
        <w:rPr>
          <w:rFonts w:ascii="Cambria" w:hAnsi="Cambria"/>
          <w:sz w:val="24"/>
          <w:szCs w:val="24"/>
        </w:rPr>
        <w:t xml:space="preserve">la mise en place d’une démarche collaborative public-privé dynamique et pérenne, </w:t>
      </w:r>
    </w:p>
    <w:p w:rsidR="007A6288" w:rsidRPr="003064E7" w:rsidRDefault="007A6288" w:rsidP="007A6288">
      <w:pPr>
        <w:pStyle w:val="-ActeAttenduVuGEDA"/>
        <w:numPr>
          <w:ilvl w:val="0"/>
          <w:numId w:val="0"/>
        </w:numPr>
        <w:ind w:left="340" w:hanging="340"/>
        <w:rPr>
          <w:rFonts w:ascii="Cambria" w:hAnsi="Cambria"/>
          <w:sz w:val="24"/>
          <w:szCs w:val="24"/>
        </w:rPr>
      </w:pPr>
      <w:r>
        <w:rPr>
          <w:rFonts w:ascii="Cambria" w:hAnsi="Cambria"/>
          <w:sz w:val="24"/>
          <w:szCs w:val="24"/>
        </w:rPr>
        <w:t xml:space="preserve">       -</w:t>
      </w:r>
      <w:r w:rsidRPr="003064E7">
        <w:rPr>
          <w:rFonts w:ascii="Cambria" w:hAnsi="Cambria"/>
          <w:sz w:val="24"/>
          <w:szCs w:val="24"/>
        </w:rPr>
        <w:t xml:space="preserve"> </w:t>
      </w:r>
      <w:r>
        <w:rPr>
          <w:rFonts w:ascii="Cambria" w:hAnsi="Cambria"/>
          <w:sz w:val="24"/>
          <w:szCs w:val="24"/>
        </w:rPr>
        <w:t xml:space="preserve">    </w:t>
      </w:r>
      <w:r w:rsidRPr="003064E7">
        <w:rPr>
          <w:rFonts w:ascii="Cambria" w:hAnsi="Cambria"/>
          <w:sz w:val="24"/>
          <w:szCs w:val="24"/>
        </w:rPr>
        <w:t xml:space="preserve">la définition des parcours de formation nécessaires, </w:t>
      </w:r>
    </w:p>
    <w:p w:rsidR="007A6288" w:rsidRPr="003064E7" w:rsidRDefault="007A6288" w:rsidP="007A6288">
      <w:pPr>
        <w:pStyle w:val="-ActeAttenduVuGEDA"/>
        <w:numPr>
          <w:ilvl w:val="0"/>
          <w:numId w:val="20"/>
        </w:numPr>
        <w:rPr>
          <w:rFonts w:ascii="Cambria" w:hAnsi="Cambria"/>
          <w:sz w:val="24"/>
          <w:szCs w:val="24"/>
        </w:rPr>
      </w:pPr>
      <w:r w:rsidRPr="003064E7">
        <w:rPr>
          <w:rFonts w:ascii="Cambria" w:hAnsi="Cambria"/>
          <w:sz w:val="24"/>
          <w:szCs w:val="24"/>
        </w:rPr>
        <w:t>et à l’analyse de leurs faisabilités techniques et financières, compte tenu des dispositifs existants et des spécificités du public concerné.</w:t>
      </w:r>
    </w:p>
    <w:p w:rsidR="007A6288" w:rsidRPr="003064E7" w:rsidRDefault="007A6288" w:rsidP="007A6288">
      <w:pPr>
        <w:pStyle w:val="-ActeAttenduVuGEDA"/>
        <w:numPr>
          <w:ilvl w:val="0"/>
          <w:numId w:val="0"/>
        </w:numPr>
        <w:rPr>
          <w:rFonts w:ascii="Cambria" w:hAnsi="Cambria"/>
          <w:sz w:val="24"/>
          <w:szCs w:val="24"/>
        </w:rPr>
      </w:pPr>
      <w:r w:rsidRPr="003064E7">
        <w:rPr>
          <w:rFonts w:ascii="Cambria" w:hAnsi="Cambria"/>
          <w:sz w:val="24"/>
          <w:szCs w:val="24"/>
        </w:rPr>
        <w:t xml:space="preserve">Compte tenu de la multiplicité des acteurs et de la diversité des filières concernées, le pilotage d’un tel projet est complexe. C’est pourquoi </w:t>
      </w:r>
      <w:r>
        <w:rPr>
          <w:rFonts w:ascii="Cambria" w:hAnsi="Cambria"/>
          <w:sz w:val="24"/>
          <w:szCs w:val="24"/>
        </w:rPr>
        <w:t>le Conseil des m</w:t>
      </w:r>
      <w:r w:rsidRPr="003064E7">
        <w:rPr>
          <w:rFonts w:ascii="Cambria" w:hAnsi="Cambria"/>
          <w:sz w:val="24"/>
          <w:szCs w:val="24"/>
        </w:rPr>
        <w:t>inistres a également validé la création d’un Comité de pilotage de la « formation de l’économie bleue » qui rassemblera les principaux acteurs et partenaires concernés afin de s’assurer d’une bonne complémentarité des actions.</w:t>
      </w:r>
      <w:r>
        <w:rPr>
          <w:rFonts w:ascii="Cambria" w:hAnsi="Cambria"/>
          <w:sz w:val="24"/>
          <w:szCs w:val="24"/>
        </w:rPr>
        <w:t xml:space="preserve"> </w:t>
      </w:r>
    </w:p>
    <w:p w:rsidR="007A6288" w:rsidRPr="003064E7" w:rsidRDefault="007A6288" w:rsidP="007A6288">
      <w:pPr>
        <w:pStyle w:val="-ActeAttenduVuGEDA"/>
        <w:numPr>
          <w:ilvl w:val="0"/>
          <w:numId w:val="0"/>
        </w:numPr>
        <w:rPr>
          <w:rFonts w:ascii="Cambria" w:hAnsi="Cambria"/>
          <w:sz w:val="24"/>
          <w:szCs w:val="24"/>
        </w:rPr>
      </w:pPr>
      <w:r w:rsidRPr="003064E7">
        <w:rPr>
          <w:rFonts w:ascii="Cambria" w:hAnsi="Cambria"/>
          <w:sz w:val="24"/>
          <w:szCs w:val="24"/>
        </w:rPr>
        <w:t xml:space="preserve">Placé sous la tutelle de la Vice-présidence, en </w:t>
      </w:r>
      <w:r>
        <w:rPr>
          <w:rFonts w:ascii="Cambria" w:hAnsi="Cambria"/>
          <w:sz w:val="24"/>
          <w:szCs w:val="24"/>
        </w:rPr>
        <w:t>charge de l’économie bleue, ce c</w:t>
      </w:r>
      <w:r w:rsidRPr="003064E7">
        <w:rPr>
          <w:rFonts w:ascii="Cambria" w:hAnsi="Cambria"/>
          <w:sz w:val="24"/>
          <w:szCs w:val="24"/>
        </w:rPr>
        <w:t>omité de pilotage est composé de :</w:t>
      </w:r>
    </w:p>
    <w:p w:rsidR="007A6288" w:rsidRPr="003064E7" w:rsidRDefault="007A6288" w:rsidP="007A6288">
      <w:pPr>
        <w:pStyle w:val="-ActeAttenduVuGEDA"/>
        <w:numPr>
          <w:ilvl w:val="0"/>
          <w:numId w:val="0"/>
        </w:numPr>
        <w:rPr>
          <w:rFonts w:ascii="Cambria" w:hAnsi="Cambria"/>
          <w:i/>
          <w:sz w:val="24"/>
          <w:szCs w:val="24"/>
        </w:rPr>
      </w:pPr>
      <w:r w:rsidRPr="003064E7">
        <w:rPr>
          <w:rFonts w:ascii="Cambria" w:hAnsi="Cambria"/>
          <w:i/>
          <w:sz w:val="24"/>
          <w:szCs w:val="24"/>
        </w:rPr>
        <w:t xml:space="preserve">Au titre des intérêts généraux : </w:t>
      </w:r>
    </w:p>
    <w:p w:rsidR="007A6288" w:rsidRPr="003064E7" w:rsidRDefault="007A6288" w:rsidP="007A6288">
      <w:pPr>
        <w:pStyle w:val="-ActeAttenduVuGEDA"/>
        <w:numPr>
          <w:ilvl w:val="0"/>
          <w:numId w:val="20"/>
        </w:numPr>
        <w:rPr>
          <w:rFonts w:ascii="Cambria" w:hAnsi="Cambria"/>
          <w:sz w:val="24"/>
          <w:szCs w:val="24"/>
        </w:rPr>
      </w:pPr>
      <w:r w:rsidRPr="003064E7">
        <w:rPr>
          <w:rFonts w:ascii="Cambria" w:hAnsi="Cambria"/>
          <w:sz w:val="24"/>
          <w:szCs w:val="24"/>
        </w:rPr>
        <w:t>Direction des ressources marines (DRM) ;</w:t>
      </w:r>
    </w:p>
    <w:p w:rsidR="007A6288" w:rsidRPr="003064E7" w:rsidRDefault="007A6288" w:rsidP="007A6288">
      <w:pPr>
        <w:pStyle w:val="-ActeAttenduVuGEDA"/>
        <w:numPr>
          <w:ilvl w:val="0"/>
          <w:numId w:val="20"/>
        </w:numPr>
        <w:rPr>
          <w:rFonts w:ascii="Cambria" w:hAnsi="Cambria"/>
          <w:sz w:val="24"/>
          <w:szCs w:val="24"/>
        </w:rPr>
      </w:pPr>
      <w:r w:rsidRPr="003064E7">
        <w:rPr>
          <w:rFonts w:ascii="Cambria" w:hAnsi="Cambria"/>
          <w:sz w:val="24"/>
          <w:szCs w:val="24"/>
        </w:rPr>
        <w:lastRenderedPageBreak/>
        <w:t>Service de l’emploi, de la formation et de l’insertion (SEFI) ;</w:t>
      </w:r>
    </w:p>
    <w:p w:rsidR="007A6288" w:rsidRPr="003064E7" w:rsidRDefault="007A6288" w:rsidP="007A6288">
      <w:pPr>
        <w:pStyle w:val="-ActeAttenduVuGEDA"/>
        <w:numPr>
          <w:ilvl w:val="0"/>
          <w:numId w:val="20"/>
        </w:numPr>
        <w:rPr>
          <w:rFonts w:ascii="Cambria" w:hAnsi="Cambria"/>
          <w:sz w:val="24"/>
          <w:szCs w:val="24"/>
        </w:rPr>
      </w:pPr>
      <w:r w:rsidRPr="003064E7">
        <w:rPr>
          <w:rFonts w:ascii="Cambria" w:hAnsi="Cambria"/>
          <w:sz w:val="24"/>
          <w:szCs w:val="24"/>
        </w:rPr>
        <w:t>Direction générale de l’éducation et des enseignements (DGEE) ;</w:t>
      </w:r>
    </w:p>
    <w:p w:rsidR="007A6288" w:rsidRPr="003064E7" w:rsidRDefault="007A6288" w:rsidP="007A6288">
      <w:pPr>
        <w:pStyle w:val="-ActeAttenduVuGEDA"/>
        <w:numPr>
          <w:ilvl w:val="0"/>
          <w:numId w:val="20"/>
        </w:numPr>
        <w:rPr>
          <w:rFonts w:ascii="Cambria" w:hAnsi="Cambria"/>
          <w:sz w:val="24"/>
          <w:szCs w:val="24"/>
        </w:rPr>
      </w:pPr>
      <w:r w:rsidRPr="003064E7">
        <w:rPr>
          <w:rFonts w:ascii="Cambria" w:hAnsi="Cambria"/>
          <w:sz w:val="24"/>
          <w:szCs w:val="24"/>
        </w:rPr>
        <w:t>Centre des métiers de la mer de Polynésie française (CMMPF) ;</w:t>
      </w:r>
    </w:p>
    <w:p w:rsidR="007A6288" w:rsidRPr="003064E7" w:rsidRDefault="007A6288" w:rsidP="007A6288">
      <w:pPr>
        <w:pStyle w:val="-ActeAttenduVuGEDA"/>
        <w:numPr>
          <w:ilvl w:val="0"/>
          <w:numId w:val="20"/>
        </w:numPr>
        <w:rPr>
          <w:rFonts w:ascii="Cambria" w:hAnsi="Cambria"/>
          <w:sz w:val="24"/>
          <w:szCs w:val="24"/>
        </w:rPr>
      </w:pPr>
      <w:r w:rsidRPr="003064E7">
        <w:rPr>
          <w:rFonts w:ascii="Cambria" w:hAnsi="Cambria"/>
          <w:sz w:val="24"/>
          <w:szCs w:val="24"/>
        </w:rPr>
        <w:t>Centre de formation professionnelle des adultes (CFPA) ;</w:t>
      </w:r>
    </w:p>
    <w:p w:rsidR="007A6288" w:rsidRPr="003064E7" w:rsidRDefault="007A6288" w:rsidP="007A6288">
      <w:pPr>
        <w:pStyle w:val="-ActeAttenduVuGEDA"/>
        <w:numPr>
          <w:ilvl w:val="0"/>
          <w:numId w:val="20"/>
        </w:numPr>
        <w:rPr>
          <w:rFonts w:ascii="Cambria" w:hAnsi="Cambria"/>
          <w:sz w:val="24"/>
          <w:szCs w:val="24"/>
        </w:rPr>
      </w:pPr>
      <w:r w:rsidRPr="003064E7">
        <w:rPr>
          <w:rFonts w:ascii="Cambria" w:hAnsi="Cambria"/>
          <w:sz w:val="24"/>
          <w:szCs w:val="24"/>
        </w:rPr>
        <w:t>Direction polynésienne des affaires maritimes (DPAM).</w:t>
      </w:r>
    </w:p>
    <w:p w:rsidR="007A6288" w:rsidRPr="003064E7" w:rsidRDefault="007A6288" w:rsidP="007A6288">
      <w:pPr>
        <w:pStyle w:val="-ActeAttenduVuGEDA"/>
        <w:numPr>
          <w:ilvl w:val="0"/>
          <w:numId w:val="0"/>
        </w:numPr>
        <w:rPr>
          <w:rFonts w:ascii="Cambria" w:hAnsi="Cambria"/>
          <w:i/>
          <w:sz w:val="24"/>
          <w:szCs w:val="24"/>
        </w:rPr>
      </w:pPr>
      <w:r w:rsidRPr="003064E7">
        <w:rPr>
          <w:rFonts w:ascii="Cambria" w:hAnsi="Cambria"/>
          <w:i/>
          <w:sz w:val="24"/>
          <w:szCs w:val="24"/>
        </w:rPr>
        <w:t xml:space="preserve">Au titre des intérêts privés : </w:t>
      </w:r>
    </w:p>
    <w:p w:rsidR="007A6288" w:rsidRPr="003064E7" w:rsidRDefault="007A6288" w:rsidP="007A6288">
      <w:pPr>
        <w:pStyle w:val="-ActeAttenduVuGEDA"/>
        <w:numPr>
          <w:ilvl w:val="0"/>
          <w:numId w:val="20"/>
        </w:numPr>
        <w:rPr>
          <w:rFonts w:ascii="Cambria" w:hAnsi="Cambria"/>
          <w:sz w:val="24"/>
          <w:szCs w:val="24"/>
        </w:rPr>
      </w:pPr>
      <w:r w:rsidRPr="003064E7">
        <w:rPr>
          <w:rFonts w:ascii="Cambria" w:hAnsi="Cambria"/>
          <w:sz w:val="24"/>
          <w:szCs w:val="24"/>
        </w:rPr>
        <w:t>Chambre de commerce, d’industrie, des services et des métiers  (CCISM) ;</w:t>
      </w:r>
    </w:p>
    <w:p w:rsidR="007A6288" w:rsidRPr="003064E7" w:rsidRDefault="007A6288" w:rsidP="007A6288">
      <w:pPr>
        <w:pStyle w:val="-ActeAttenduVuGEDA"/>
        <w:numPr>
          <w:ilvl w:val="0"/>
          <w:numId w:val="20"/>
        </w:numPr>
        <w:rPr>
          <w:rFonts w:ascii="Cambria" w:hAnsi="Cambria"/>
          <w:sz w:val="24"/>
          <w:szCs w:val="24"/>
        </w:rPr>
      </w:pPr>
      <w:r w:rsidRPr="003064E7">
        <w:rPr>
          <w:rFonts w:ascii="Cambria" w:hAnsi="Cambria"/>
          <w:sz w:val="24"/>
          <w:szCs w:val="24"/>
        </w:rPr>
        <w:t>Cluster maritime de Polynésie française (CMPF) ;</w:t>
      </w:r>
    </w:p>
    <w:p w:rsidR="007A6288" w:rsidRPr="003064E7" w:rsidRDefault="007A6288" w:rsidP="007A6288">
      <w:pPr>
        <w:pStyle w:val="-ActeAttenduVuGEDA"/>
        <w:numPr>
          <w:ilvl w:val="0"/>
          <w:numId w:val="20"/>
        </w:numPr>
        <w:rPr>
          <w:rFonts w:ascii="Cambria" w:hAnsi="Cambria"/>
          <w:sz w:val="24"/>
          <w:szCs w:val="24"/>
        </w:rPr>
      </w:pPr>
      <w:r w:rsidRPr="003064E7">
        <w:rPr>
          <w:rFonts w:ascii="Cambria" w:hAnsi="Cambria"/>
          <w:sz w:val="24"/>
          <w:szCs w:val="24"/>
        </w:rPr>
        <w:t>Le Mouvement des entreprises de France de Polynésie française (MEDEF PF) ;</w:t>
      </w:r>
    </w:p>
    <w:p w:rsidR="007A6288" w:rsidRPr="003064E7" w:rsidRDefault="007A6288" w:rsidP="007A6288">
      <w:pPr>
        <w:pStyle w:val="-ActeAttenduVuGEDA"/>
        <w:numPr>
          <w:ilvl w:val="0"/>
          <w:numId w:val="20"/>
        </w:numPr>
        <w:rPr>
          <w:rFonts w:ascii="Cambria" w:hAnsi="Cambria"/>
          <w:sz w:val="24"/>
          <w:szCs w:val="24"/>
        </w:rPr>
      </w:pPr>
      <w:r w:rsidRPr="003064E7">
        <w:rPr>
          <w:rFonts w:ascii="Cambria" w:hAnsi="Cambria"/>
          <w:sz w:val="24"/>
          <w:szCs w:val="24"/>
        </w:rPr>
        <w:t>Confédération des petites et moyennes entreprises de Polynésie française (CPME PF).</w:t>
      </w:r>
    </w:p>
    <w:p w:rsidR="00AA5DB0" w:rsidRDefault="00AA5DB0" w:rsidP="00AA5DB0">
      <w:pPr>
        <w:pStyle w:val="-ActeAttenduVuGEDA"/>
        <w:numPr>
          <w:ilvl w:val="0"/>
          <w:numId w:val="0"/>
        </w:numPr>
        <w:ind w:left="340" w:hanging="340"/>
        <w:rPr>
          <w:rFonts w:ascii="Cambria" w:hAnsi="Cambria"/>
          <w:b/>
          <w:sz w:val="24"/>
          <w:szCs w:val="24"/>
        </w:rPr>
      </w:pPr>
    </w:p>
    <w:p w:rsidR="00AA5DB0" w:rsidRDefault="00AA5DB0" w:rsidP="00AA5DB0">
      <w:pPr>
        <w:pStyle w:val="-ActeAttenduVuGEDA"/>
        <w:numPr>
          <w:ilvl w:val="0"/>
          <w:numId w:val="0"/>
        </w:numPr>
        <w:ind w:left="340" w:hanging="340"/>
        <w:rPr>
          <w:rFonts w:ascii="Cambria" w:hAnsi="Cambria"/>
          <w:b/>
          <w:sz w:val="24"/>
          <w:szCs w:val="24"/>
        </w:rPr>
      </w:pPr>
      <w:r>
        <w:rPr>
          <w:rFonts w:ascii="Cambria" w:hAnsi="Cambria"/>
          <w:b/>
          <w:sz w:val="24"/>
          <w:szCs w:val="24"/>
        </w:rPr>
        <w:t>Aide à l’équipement en radiocommunication pour les pêcheurs professionnels</w:t>
      </w:r>
    </w:p>
    <w:p w:rsidR="00C34DFF" w:rsidRPr="00AA5DB0" w:rsidRDefault="00C34DFF" w:rsidP="00AA5DB0">
      <w:pPr>
        <w:pStyle w:val="-ActeAttenduVuGEDA"/>
        <w:numPr>
          <w:ilvl w:val="0"/>
          <w:numId w:val="0"/>
        </w:numPr>
        <w:rPr>
          <w:rFonts w:ascii="Cambria" w:hAnsi="Cambria"/>
          <w:sz w:val="24"/>
          <w:szCs w:val="24"/>
        </w:rPr>
      </w:pPr>
      <w:r w:rsidRPr="00AA5DB0">
        <w:rPr>
          <w:rFonts w:ascii="Cambria" w:hAnsi="Cambria"/>
          <w:sz w:val="24"/>
          <w:szCs w:val="24"/>
        </w:rPr>
        <w:t>La l</w:t>
      </w:r>
      <w:r w:rsidR="00AA5DB0">
        <w:rPr>
          <w:rFonts w:ascii="Cambria" w:hAnsi="Cambria"/>
          <w:sz w:val="24"/>
          <w:szCs w:val="24"/>
        </w:rPr>
        <w:t>oi du P</w:t>
      </w:r>
      <w:r w:rsidRPr="00AA5DB0">
        <w:rPr>
          <w:rFonts w:ascii="Cambria" w:hAnsi="Cambria"/>
          <w:sz w:val="24"/>
          <w:szCs w:val="24"/>
        </w:rPr>
        <w:t xml:space="preserve">ays du 17 janvier 2019 institue une aide pour l'acquisition de matériels de radiocommunications sur des navires de pêche. L'arrêté </w:t>
      </w:r>
      <w:r w:rsidR="00AA5DB0">
        <w:rPr>
          <w:rFonts w:ascii="Cambria" w:hAnsi="Cambria"/>
          <w:sz w:val="24"/>
          <w:szCs w:val="24"/>
        </w:rPr>
        <w:t>du Conseil des ministres</w:t>
      </w:r>
      <w:r w:rsidRPr="00AA5DB0">
        <w:rPr>
          <w:rFonts w:ascii="Cambria" w:hAnsi="Cambria"/>
          <w:sz w:val="24"/>
          <w:szCs w:val="24"/>
        </w:rPr>
        <w:t xml:space="preserve"> du 1er février 2019 portant application de </w:t>
      </w:r>
      <w:r w:rsidR="00AA5DB0">
        <w:rPr>
          <w:rFonts w:ascii="Cambria" w:hAnsi="Cambria"/>
          <w:sz w:val="24"/>
          <w:szCs w:val="24"/>
        </w:rPr>
        <w:t>cette</w:t>
      </w:r>
      <w:r w:rsidRPr="00AA5DB0">
        <w:rPr>
          <w:rFonts w:ascii="Cambria" w:hAnsi="Cambria"/>
          <w:sz w:val="24"/>
          <w:szCs w:val="24"/>
        </w:rPr>
        <w:t xml:space="preserve"> loi du </w:t>
      </w:r>
      <w:r w:rsidR="00AA5DB0">
        <w:rPr>
          <w:rFonts w:ascii="Cambria" w:hAnsi="Cambria"/>
          <w:sz w:val="24"/>
          <w:szCs w:val="24"/>
        </w:rPr>
        <w:t>P</w:t>
      </w:r>
      <w:r w:rsidRPr="00AA5DB0">
        <w:rPr>
          <w:rFonts w:ascii="Cambria" w:hAnsi="Cambria"/>
          <w:sz w:val="24"/>
          <w:szCs w:val="24"/>
        </w:rPr>
        <w:t xml:space="preserve">ays établit les modalités précises pour bénéficier d’une aide pour l'acquisition de matériels de radiocommunications sur des navires de pêche. </w:t>
      </w:r>
    </w:p>
    <w:p w:rsidR="00C34DFF" w:rsidRPr="00AA5DB0" w:rsidRDefault="00C34DFF" w:rsidP="00AA5DB0">
      <w:pPr>
        <w:pStyle w:val="-ActeAttenduVuGEDA"/>
        <w:numPr>
          <w:ilvl w:val="0"/>
          <w:numId w:val="0"/>
        </w:numPr>
        <w:rPr>
          <w:rFonts w:ascii="Cambria" w:hAnsi="Cambria"/>
          <w:sz w:val="24"/>
          <w:szCs w:val="24"/>
        </w:rPr>
      </w:pPr>
      <w:r w:rsidRPr="00AA5DB0">
        <w:rPr>
          <w:rFonts w:ascii="Cambria" w:hAnsi="Cambria"/>
          <w:sz w:val="24"/>
          <w:szCs w:val="24"/>
        </w:rPr>
        <w:t>Le dispositif</w:t>
      </w:r>
      <w:r w:rsidR="00AA5DB0">
        <w:rPr>
          <w:rFonts w:ascii="Cambria" w:hAnsi="Cambria"/>
          <w:sz w:val="24"/>
          <w:szCs w:val="24"/>
        </w:rPr>
        <w:t>,</w:t>
      </w:r>
      <w:r w:rsidRPr="00AA5DB0">
        <w:rPr>
          <w:rFonts w:ascii="Cambria" w:hAnsi="Cambria"/>
          <w:sz w:val="24"/>
          <w:szCs w:val="24"/>
        </w:rPr>
        <w:t xml:space="preserve"> ouvert depuis le 1</w:t>
      </w:r>
      <w:r w:rsidRPr="00AA5DB0">
        <w:rPr>
          <w:rFonts w:ascii="Cambria" w:hAnsi="Cambria"/>
          <w:sz w:val="24"/>
          <w:szCs w:val="24"/>
          <w:vertAlign w:val="superscript"/>
        </w:rPr>
        <w:t>er</w:t>
      </w:r>
      <w:r w:rsidRPr="00AA5DB0">
        <w:rPr>
          <w:rFonts w:ascii="Cambria" w:hAnsi="Cambria"/>
          <w:sz w:val="24"/>
          <w:szCs w:val="24"/>
        </w:rPr>
        <w:t xml:space="preserve"> février 2019, prévoit le remboursement de 50% du montant de l’équipement incluant son installation. Une enveloppe de 45 millions </w:t>
      </w:r>
      <w:proofErr w:type="spellStart"/>
      <w:r w:rsidR="00AA5DB0">
        <w:rPr>
          <w:rFonts w:ascii="Cambria" w:hAnsi="Cambria"/>
          <w:sz w:val="24"/>
          <w:szCs w:val="24"/>
        </w:rPr>
        <w:t>Fcfp</w:t>
      </w:r>
      <w:proofErr w:type="spellEnd"/>
      <w:r w:rsidR="00AA5DB0">
        <w:rPr>
          <w:rFonts w:ascii="Cambria" w:hAnsi="Cambria"/>
          <w:sz w:val="24"/>
          <w:szCs w:val="24"/>
        </w:rPr>
        <w:t xml:space="preserve"> </w:t>
      </w:r>
      <w:r w:rsidRPr="00AA5DB0">
        <w:rPr>
          <w:rFonts w:ascii="Cambria" w:hAnsi="Cambria"/>
          <w:sz w:val="24"/>
          <w:szCs w:val="24"/>
        </w:rPr>
        <w:t xml:space="preserve">a été prévue pour son financement. Le dispositif prendra fin le 31 décembre 2019. A l’échéance du dispositif, ces équipements seront devenus obligatoires. </w:t>
      </w:r>
    </w:p>
    <w:p w:rsidR="00C34DFF" w:rsidRPr="00AA5DB0" w:rsidRDefault="00AA5DB0" w:rsidP="00AA5DB0">
      <w:pPr>
        <w:pStyle w:val="-ActeAttenduVuGEDA"/>
        <w:numPr>
          <w:ilvl w:val="0"/>
          <w:numId w:val="0"/>
        </w:numPr>
        <w:rPr>
          <w:rFonts w:ascii="Cambria" w:hAnsi="Cambria"/>
          <w:sz w:val="24"/>
          <w:szCs w:val="24"/>
        </w:rPr>
      </w:pPr>
      <w:r>
        <w:rPr>
          <w:rFonts w:ascii="Cambria" w:hAnsi="Cambria"/>
          <w:sz w:val="24"/>
          <w:szCs w:val="24"/>
        </w:rPr>
        <w:t>Le C</w:t>
      </w:r>
      <w:r w:rsidR="00C34DFF" w:rsidRPr="00AA5DB0">
        <w:rPr>
          <w:rFonts w:ascii="Cambria" w:hAnsi="Cambria"/>
          <w:sz w:val="24"/>
          <w:szCs w:val="24"/>
        </w:rPr>
        <w:t xml:space="preserve">onseil des ministres a approuvé l’octroi de l’aide pour 10 thoniers supplémentaires, ce qui porte à 20 le nombre de dossiers approuvés concernant l’équipement de ce type de navires. A ce jour, la Direction Polynésienne des Affaires Maritimes </w:t>
      </w:r>
      <w:r>
        <w:rPr>
          <w:rFonts w:ascii="Cambria" w:hAnsi="Cambria"/>
          <w:sz w:val="24"/>
          <w:szCs w:val="24"/>
        </w:rPr>
        <w:t xml:space="preserve">(DPAM) </w:t>
      </w:r>
      <w:r w:rsidR="00C34DFF" w:rsidRPr="00AA5DB0">
        <w:rPr>
          <w:rFonts w:ascii="Cambria" w:hAnsi="Cambria"/>
          <w:sz w:val="24"/>
          <w:szCs w:val="24"/>
        </w:rPr>
        <w:t xml:space="preserve">qui gère le dispositif a enregistré le dépôt de 40 dossiers éligibles. </w:t>
      </w:r>
    </w:p>
    <w:p w:rsidR="00C34DFF" w:rsidRPr="00AA5DB0" w:rsidRDefault="00C34DFF" w:rsidP="00AA5DB0">
      <w:pPr>
        <w:pStyle w:val="-ActeAttenduVuGEDA"/>
        <w:numPr>
          <w:ilvl w:val="0"/>
          <w:numId w:val="0"/>
        </w:numPr>
        <w:rPr>
          <w:rFonts w:ascii="Cambria" w:hAnsi="Cambria"/>
          <w:sz w:val="24"/>
          <w:szCs w:val="24"/>
        </w:rPr>
      </w:pPr>
      <w:r w:rsidRPr="00AA5DB0">
        <w:rPr>
          <w:rFonts w:ascii="Cambria" w:hAnsi="Cambria"/>
          <w:sz w:val="24"/>
          <w:szCs w:val="24"/>
        </w:rPr>
        <w:t xml:space="preserve">Le dispositif en cours est ouvert sur toute l’année civile 2019. Le gouvernement invite donc les professionnels de la pêche qui sont éligibles (thoniers, </w:t>
      </w:r>
      <w:proofErr w:type="spellStart"/>
      <w:r w:rsidRPr="00AA5DB0">
        <w:rPr>
          <w:rFonts w:ascii="Cambria" w:hAnsi="Cambria"/>
          <w:sz w:val="24"/>
          <w:szCs w:val="24"/>
        </w:rPr>
        <w:t>bonitiers</w:t>
      </w:r>
      <w:proofErr w:type="spellEnd"/>
      <w:r w:rsidRPr="00AA5DB0">
        <w:rPr>
          <w:rFonts w:ascii="Cambria" w:hAnsi="Cambria"/>
          <w:sz w:val="24"/>
          <w:szCs w:val="24"/>
        </w:rPr>
        <w:t xml:space="preserve"> et Poti </w:t>
      </w:r>
      <w:proofErr w:type="spellStart"/>
      <w:r w:rsidRPr="00AA5DB0">
        <w:rPr>
          <w:rFonts w:ascii="Cambria" w:hAnsi="Cambria"/>
          <w:sz w:val="24"/>
          <w:szCs w:val="24"/>
        </w:rPr>
        <w:t>marara</w:t>
      </w:r>
      <w:proofErr w:type="spellEnd"/>
      <w:r w:rsidRPr="00AA5DB0">
        <w:rPr>
          <w:rFonts w:ascii="Cambria" w:hAnsi="Cambria"/>
          <w:sz w:val="24"/>
          <w:szCs w:val="24"/>
        </w:rPr>
        <w:t>), à solliciter cette aide sans tarder auprès de la DPAM pour s’équiper en matériels de radiocommunications.</w:t>
      </w:r>
    </w:p>
    <w:p w:rsidR="00CE47CE" w:rsidRPr="00AA5DB0" w:rsidRDefault="00CE47CE" w:rsidP="00CE47CE">
      <w:pPr>
        <w:widowControl w:val="0"/>
        <w:autoSpaceDE w:val="0"/>
        <w:autoSpaceDN w:val="0"/>
        <w:adjustRightInd w:val="0"/>
        <w:rPr>
          <w:rFonts w:ascii="Cambria" w:hAnsi="Cambria"/>
          <w:b/>
        </w:rPr>
      </w:pPr>
    </w:p>
    <w:p w:rsidR="00AA5DB0" w:rsidRPr="00AA5DB0" w:rsidRDefault="00AA5DB0" w:rsidP="00AA5DB0">
      <w:pPr>
        <w:pStyle w:val="-LettreTexteGEDA"/>
        <w:ind w:firstLine="0"/>
        <w:rPr>
          <w:rFonts w:ascii="Cambria" w:hAnsi="Cambria"/>
          <w:lang w:eastAsia="en-US"/>
        </w:rPr>
      </w:pPr>
    </w:p>
    <w:p w:rsidR="00AA5DB0" w:rsidRPr="00AA5DB0" w:rsidRDefault="00AA5DB0" w:rsidP="00AA5DB0">
      <w:pPr>
        <w:pStyle w:val="-LettreTexteGEDA"/>
        <w:ind w:firstLine="0"/>
        <w:rPr>
          <w:rFonts w:ascii="Cambria" w:hAnsi="Cambria"/>
          <w:b/>
          <w:lang w:eastAsia="en-US"/>
        </w:rPr>
      </w:pPr>
      <w:r w:rsidRPr="00AA5DB0">
        <w:rPr>
          <w:rFonts w:ascii="Cambria" w:hAnsi="Cambria"/>
          <w:b/>
          <w:lang w:eastAsia="en-US"/>
        </w:rPr>
        <w:t>Bénéfice du régime d’exonération des droits et taxes pour les navires de transport interinsulaire</w:t>
      </w:r>
    </w:p>
    <w:p w:rsidR="00C34DFF" w:rsidRPr="00AA5DB0" w:rsidRDefault="00C34DFF" w:rsidP="00AA5DB0">
      <w:pPr>
        <w:pStyle w:val="Titre8"/>
        <w:keepNext w:val="0"/>
        <w:keepLines w:val="0"/>
        <w:numPr>
          <w:ilvl w:val="0"/>
          <w:numId w:val="0"/>
        </w:numPr>
        <w:tabs>
          <w:tab w:val="left" w:pos="1418"/>
        </w:tabs>
        <w:jc w:val="both"/>
        <w:rPr>
          <w:rFonts w:ascii="Cambria" w:hAnsi="Cambria"/>
          <w:szCs w:val="24"/>
        </w:rPr>
      </w:pPr>
      <w:r w:rsidRPr="00AA5DB0">
        <w:rPr>
          <w:rFonts w:ascii="Cambria" w:hAnsi="Cambria"/>
          <w:szCs w:val="24"/>
        </w:rPr>
        <w:t xml:space="preserve">Le maintien des populations et des activités dans les archipels est un élément déterminant du développement économique de la Polynésie française et de son rééquilibrage. C’est pourquoi, le gouvernement a décidé de reconduire le dispositif de détaxe des carburants </w:t>
      </w:r>
      <w:r w:rsidRPr="00AA5DB0">
        <w:rPr>
          <w:rFonts w:ascii="Cambria" w:hAnsi="Cambria"/>
          <w:szCs w:val="24"/>
        </w:rPr>
        <w:lastRenderedPageBreak/>
        <w:t>dont bénéficient les armateurs desservant les iles. Cette aide</w:t>
      </w:r>
      <w:r w:rsidR="00DE148E">
        <w:rPr>
          <w:rFonts w:ascii="Cambria" w:hAnsi="Cambria"/>
          <w:szCs w:val="24"/>
        </w:rPr>
        <w:t>,</w:t>
      </w:r>
      <w:r w:rsidRPr="00AA5DB0">
        <w:rPr>
          <w:rFonts w:ascii="Cambria" w:hAnsi="Cambria"/>
          <w:szCs w:val="24"/>
        </w:rPr>
        <w:t xml:space="preserve"> sous forme de détaxe, leur permet d’assurer la desserte des iles éloignées dans des conditions économiques plus favorables aux populations, compte tenu des fréquences ou des énormes distances à parcourir. Seuls les armateurs détenant une licence d’exploitation peuvent bénéficier du régime d’exonération des droits et taxes sur les carburants et les huiles, institué par les délibérations </w:t>
      </w:r>
      <w:r w:rsidR="00DE148E">
        <w:rPr>
          <w:rFonts w:ascii="Cambria" w:hAnsi="Cambria"/>
          <w:szCs w:val="24"/>
        </w:rPr>
        <w:t>de l’Assemblée</w:t>
      </w:r>
      <w:r w:rsidRPr="00AA5DB0">
        <w:rPr>
          <w:rFonts w:ascii="Cambria" w:hAnsi="Cambria"/>
          <w:szCs w:val="24"/>
        </w:rPr>
        <w:t xml:space="preserve"> du 30 aout 1990 modifiée et du 13 décembre 1990 modifiée. </w:t>
      </w:r>
    </w:p>
    <w:p w:rsidR="00C34DFF" w:rsidRDefault="00C34DFF" w:rsidP="00DE148E">
      <w:pPr>
        <w:pStyle w:val="Titre8"/>
        <w:keepNext w:val="0"/>
        <w:keepLines w:val="0"/>
        <w:numPr>
          <w:ilvl w:val="0"/>
          <w:numId w:val="0"/>
        </w:numPr>
        <w:tabs>
          <w:tab w:val="left" w:pos="1418"/>
        </w:tabs>
        <w:jc w:val="both"/>
        <w:rPr>
          <w:rFonts w:ascii="Cambria" w:hAnsi="Cambria"/>
          <w:szCs w:val="24"/>
        </w:rPr>
      </w:pPr>
      <w:r w:rsidRPr="00AA5DB0">
        <w:rPr>
          <w:rFonts w:ascii="Cambria" w:hAnsi="Cambria"/>
          <w:szCs w:val="24"/>
        </w:rPr>
        <w:t xml:space="preserve">Le Conseil des ministres, en complément des demandes déjà accordées lors de sa séance précédente, a décidé de reconduire cette aide pour les sociétés suivantes qui en ont expressément fait la demande : </w:t>
      </w:r>
    </w:p>
    <w:p w:rsidR="00DE148E" w:rsidRPr="00DE148E" w:rsidRDefault="00DE148E" w:rsidP="00DE148E">
      <w:pPr>
        <w:pStyle w:val="-LettreTexteGEDA"/>
        <w:rPr>
          <w:lang w:eastAsia="en-US"/>
        </w:rPr>
      </w:pPr>
    </w:p>
    <w:p w:rsidR="00C34DFF" w:rsidRPr="00AA5DB0" w:rsidRDefault="00C34DFF" w:rsidP="00C34DFF">
      <w:pPr>
        <w:pStyle w:val="Paragraphedeliste"/>
        <w:numPr>
          <w:ilvl w:val="0"/>
          <w:numId w:val="17"/>
        </w:numPr>
        <w:spacing w:after="0" w:line="240" w:lineRule="auto"/>
        <w:jc w:val="both"/>
        <w:rPr>
          <w:rFonts w:ascii="Cambria" w:hAnsi="Cambria"/>
          <w:sz w:val="24"/>
          <w:szCs w:val="24"/>
        </w:rPr>
      </w:pPr>
      <w:r w:rsidRPr="00AA5DB0">
        <w:rPr>
          <w:rFonts w:ascii="Cambria" w:hAnsi="Cambria"/>
          <w:sz w:val="24"/>
          <w:szCs w:val="24"/>
        </w:rPr>
        <w:t xml:space="preserve">La SARL SNGV 2 Moorea, au titre de l’exploitation du navire </w:t>
      </w:r>
      <w:proofErr w:type="spellStart"/>
      <w:r w:rsidRPr="00AA5DB0">
        <w:rPr>
          <w:rFonts w:ascii="Cambria" w:hAnsi="Cambria"/>
          <w:sz w:val="24"/>
          <w:szCs w:val="24"/>
        </w:rPr>
        <w:t>T</w:t>
      </w:r>
      <w:r w:rsidR="00DE148E">
        <w:rPr>
          <w:rFonts w:ascii="Cambria" w:hAnsi="Cambria"/>
          <w:sz w:val="24"/>
          <w:szCs w:val="24"/>
        </w:rPr>
        <w:t>erevau</w:t>
      </w:r>
      <w:proofErr w:type="spellEnd"/>
      <w:r w:rsidRPr="00AA5DB0">
        <w:rPr>
          <w:rFonts w:ascii="Cambria" w:hAnsi="Cambria"/>
          <w:sz w:val="24"/>
          <w:szCs w:val="24"/>
        </w:rPr>
        <w:t xml:space="preserve"> assurant la liaison entre Tahiti et Moorea.</w:t>
      </w:r>
    </w:p>
    <w:p w:rsidR="00C34DFF" w:rsidRPr="00AA5DB0" w:rsidRDefault="00C34DFF" w:rsidP="00C34DFF">
      <w:pPr>
        <w:pStyle w:val="Paragraphedeliste"/>
        <w:numPr>
          <w:ilvl w:val="0"/>
          <w:numId w:val="17"/>
        </w:numPr>
        <w:spacing w:after="0" w:line="240" w:lineRule="auto"/>
        <w:jc w:val="both"/>
        <w:rPr>
          <w:rFonts w:ascii="Cambria" w:hAnsi="Cambria"/>
          <w:sz w:val="24"/>
          <w:szCs w:val="24"/>
        </w:rPr>
      </w:pPr>
      <w:r w:rsidRPr="00AA5DB0">
        <w:rPr>
          <w:rFonts w:ascii="Cambria" w:hAnsi="Cambria"/>
          <w:sz w:val="24"/>
          <w:szCs w:val="24"/>
        </w:rPr>
        <w:t xml:space="preserve">La SNC </w:t>
      </w:r>
      <w:proofErr w:type="spellStart"/>
      <w:r w:rsidRPr="00AA5DB0">
        <w:rPr>
          <w:rFonts w:ascii="Cambria" w:hAnsi="Cambria"/>
          <w:sz w:val="24"/>
          <w:szCs w:val="24"/>
        </w:rPr>
        <w:t>Agieray</w:t>
      </w:r>
      <w:proofErr w:type="spellEnd"/>
      <w:r w:rsidRPr="00AA5DB0">
        <w:rPr>
          <w:rFonts w:ascii="Cambria" w:hAnsi="Cambria"/>
          <w:sz w:val="24"/>
          <w:szCs w:val="24"/>
        </w:rPr>
        <w:t xml:space="preserve"> et Cie, au titre de l’exploitation du navire </w:t>
      </w:r>
      <w:proofErr w:type="spellStart"/>
      <w:r w:rsidRPr="00AA5DB0">
        <w:rPr>
          <w:rFonts w:ascii="Cambria" w:hAnsi="Cambria"/>
          <w:sz w:val="24"/>
          <w:szCs w:val="24"/>
        </w:rPr>
        <w:t>D</w:t>
      </w:r>
      <w:r w:rsidR="00DE148E">
        <w:rPr>
          <w:rFonts w:ascii="Cambria" w:hAnsi="Cambria"/>
          <w:sz w:val="24"/>
          <w:szCs w:val="24"/>
        </w:rPr>
        <w:t>ory</w:t>
      </w:r>
      <w:proofErr w:type="spellEnd"/>
      <w:r w:rsidRPr="00AA5DB0">
        <w:rPr>
          <w:rFonts w:ascii="Cambria" w:hAnsi="Cambria"/>
          <w:sz w:val="24"/>
          <w:szCs w:val="24"/>
        </w:rPr>
        <w:t xml:space="preserve"> assurant les liaisons entre les atolls des Tuamotu de l’Ouest.</w:t>
      </w:r>
    </w:p>
    <w:p w:rsidR="00C34DFF" w:rsidRPr="00AA5DB0" w:rsidRDefault="00C34DFF" w:rsidP="00C34DFF">
      <w:pPr>
        <w:pStyle w:val="Paragraphedeliste"/>
        <w:numPr>
          <w:ilvl w:val="0"/>
          <w:numId w:val="17"/>
        </w:numPr>
        <w:spacing w:after="0" w:line="240" w:lineRule="auto"/>
        <w:jc w:val="both"/>
        <w:rPr>
          <w:rFonts w:ascii="Cambria" w:hAnsi="Cambria"/>
          <w:sz w:val="24"/>
          <w:szCs w:val="24"/>
        </w:rPr>
      </w:pPr>
      <w:r w:rsidRPr="00AA5DB0">
        <w:rPr>
          <w:rFonts w:ascii="Cambria" w:hAnsi="Cambria"/>
          <w:sz w:val="24"/>
          <w:szCs w:val="24"/>
        </w:rPr>
        <w:t>L’EURL Transport Maritime des Tuamotu Ouest (TMTO) au titre de l’exploitation du navire M</w:t>
      </w:r>
      <w:r w:rsidR="00DE148E">
        <w:rPr>
          <w:rFonts w:ascii="Cambria" w:hAnsi="Cambria"/>
          <w:sz w:val="24"/>
          <w:szCs w:val="24"/>
        </w:rPr>
        <w:t>areva Nui</w:t>
      </w:r>
      <w:r w:rsidRPr="00AA5DB0">
        <w:rPr>
          <w:rFonts w:ascii="Cambria" w:hAnsi="Cambria"/>
          <w:sz w:val="24"/>
          <w:szCs w:val="24"/>
        </w:rPr>
        <w:t xml:space="preserve"> desservant les Tuamotu – Gambier.</w:t>
      </w:r>
    </w:p>
    <w:p w:rsidR="00C34DFF" w:rsidRPr="00AA5DB0" w:rsidRDefault="00C34DFF" w:rsidP="00C34DFF">
      <w:pPr>
        <w:pStyle w:val="Paragraphedeliste"/>
        <w:numPr>
          <w:ilvl w:val="0"/>
          <w:numId w:val="17"/>
        </w:numPr>
        <w:spacing w:after="0" w:line="240" w:lineRule="auto"/>
        <w:jc w:val="both"/>
        <w:rPr>
          <w:rFonts w:ascii="Cambria" w:hAnsi="Cambria"/>
          <w:sz w:val="24"/>
          <w:szCs w:val="24"/>
        </w:rPr>
      </w:pPr>
      <w:r w:rsidRPr="00AA5DB0">
        <w:rPr>
          <w:rFonts w:ascii="Cambria" w:hAnsi="Cambria"/>
          <w:sz w:val="24"/>
          <w:szCs w:val="24"/>
        </w:rPr>
        <w:t xml:space="preserve">La SAS Société de Navigation Polynésienne (SNP) au titre de l’exploitation du navire </w:t>
      </w:r>
      <w:proofErr w:type="spellStart"/>
      <w:r w:rsidRPr="00AA5DB0">
        <w:rPr>
          <w:rFonts w:ascii="Cambria" w:hAnsi="Cambria"/>
          <w:sz w:val="24"/>
          <w:szCs w:val="24"/>
        </w:rPr>
        <w:t>H</w:t>
      </w:r>
      <w:r w:rsidR="00DE148E">
        <w:rPr>
          <w:rFonts w:ascii="Cambria" w:hAnsi="Cambria"/>
          <w:sz w:val="24"/>
          <w:szCs w:val="24"/>
        </w:rPr>
        <w:t>awaiki</w:t>
      </w:r>
      <w:proofErr w:type="spellEnd"/>
      <w:r w:rsidR="00DE148E">
        <w:rPr>
          <w:rFonts w:ascii="Cambria" w:hAnsi="Cambria"/>
          <w:sz w:val="24"/>
          <w:szCs w:val="24"/>
        </w:rPr>
        <w:t xml:space="preserve"> Nui desservant les î</w:t>
      </w:r>
      <w:r w:rsidRPr="00AA5DB0">
        <w:rPr>
          <w:rFonts w:ascii="Cambria" w:hAnsi="Cambria"/>
          <w:sz w:val="24"/>
          <w:szCs w:val="24"/>
        </w:rPr>
        <w:t>les Sous Le Vent.</w:t>
      </w:r>
    </w:p>
    <w:p w:rsidR="00DE148E" w:rsidRDefault="00DE148E" w:rsidP="00DE148E">
      <w:pPr>
        <w:pStyle w:val="Titre9"/>
        <w:numPr>
          <w:ilvl w:val="0"/>
          <w:numId w:val="0"/>
        </w:numPr>
        <w:spacing w:before="60"/>
        <w:rPr>
          <w:rFonts w:ascii="Cambria" w:hAnsi="Cambria"/>
          <w:szCs w:val="24"/>
        </w:rPr>
      </w:pPr>
    </w:p>
    <w:p w:rsidR="00C34DFF" w:rsidRPr="00AA5DB0" w:rsidRDefault="00C34DFF" w:rsidP="00DE148E">
      <w:pPr>
        <w:pStyle w:val="Titre9"/>
        <w:numPr>
          <w:ilvl w:val="0"/>
          <w:numId w:val="0"/>
        </w:numPr>
        <w:spacing w:before="60"/>
        <w:rPr>
          <w:rFonts w:ascii="Cambria" w:hAnsi="Cambria"/>
          <w:szCs w:val="24"/>
        </w:rPr>
      </w:pPr>
      <w:r w:rsidRPr="00AA5DB0">
        <w:rPr>
          <w:rFonts w:ascii="Cambria" w:hAnsi="Cambria"/>
          <w:szCs w:val="24"/>
        </w:rPr>
        <w:t>D’autres demandes sont encore en attente de décisions car les dossiers doivent être complétés. En application des dispositions accompagnant l’octroi de ces exonérations, les sociétés bénéficiaires sont soumises à l’obligation de retraiter les huiles usagées et les eaux de cale. Elles doivent transmettre deux fois par an à la DPAM, en janvier et juillet, la fiche de suivi du retraitement, accompagnée de ses justificatifs et attestations de retrait</w:t>
      </w:r>
      <w:r w:rsidR="00DE148E">
        <w:rPr>
          <w:rFonts w:ascii="Cambria" w:hAnsi="Cambria"/>
          <w:szCs w:val="24"/>
        </w:rPr>
        <w:t>ement par d</w:t>
      </w:r>
      <w:r w:rsidRPr="00AA5DB0">
        <w:rPr>
          <w:rFonts w:ascii="Cambria" w:hAnsi="Cambria"/>
          <w:szCs w:val="24"/>
        </w:rPr>
        <w:t xml:space="preserve">es organismes agréés. A défaut, le bénéfice de l’exonération leur </w:t>
      </w:r>
      <w:r w:rsidR="00DE148E">
        <w:rPr>
          <w:rFonts w:ascii="Cambria" w:hAnsi="Cambria"/>
          <w:szCs w:val="24"/>
        </w:rPr>
        <w:t>sera</w:t>
      </w:r>
      <w:r w:rsidRPr="00AA5DB0">
        <w:rPr>
          <w:rFonts w:ascii="Cambria" w:hAnsi="Cambria"/>
          <w:szCs w:val="24"/>
        </w:rPr>
        <w:t xml:space="preserve"> refusé.</w:t>
      </w:r>
    </w:p>
    <w:p w:rsidR="00C34DFF" w:rsidRDefault="00C34DFF" w:rsidP="00CE47CE">
      <w:pPr>
        <w:widowControl w:val="0"/>
        <w:autoSpaceDE w:val="0"/>
        <w:autoSpaceDN w:val="0"/>
        <w:adjustRightInd w:val="0"/>
        <w:rPr>
          <w:rFonts w:ascii="Cambria" w:hAnsi="Cambria"/>
          <w:b/>
        </w:rPr>
      </w:pPr>
    </w:p>
    <w:p w:rsidR="00C34DFF" w:rsidRDefault="00C34DFF" w:rsidP="00C34DFF">
      <w:pPr>
        <w:pStyle w:val="-LettreObjetGEDA"/>
        <w:rPr>
          <w:rFonts w:ascii="Cambria" w:hAnsi="Cambria"/>
          <w:b/>
          <w:bCs/>
          <w:szCs w:val="24"/>
          <w:lang w:eastAsia="en-US"/>
        </w:rPr>
      </w:pPr>
      <w:r>
        <w:rPr>
          <w:rFonts w:ascii="Cambria" w:hAnsi="Cambria"/>
          <w:b/>
          <w:bCs/>
          <w:lang w:eastAsia="en-US"/>
        </w:rPr>
        <w:t>Modalités de déclaration d’une activité d’ULM en Polynésie française</w:t>
      </w:r>
    </w:p>
    <w:p w:rsidR="00C34DFF" w:rsidRDefault="00C34DFF" w:rsidP="00C34DFF">
      <w:pPr>
        <w:pStyle w:val="Standard"/>
        <w:spacing w:before="120" w:after="0" w:line="240" w:lineRule="auto"/>
        <w:jc w:val="both"/>
        <w:rPr>
          <w:rFonts w:ascii="Cambria" w:hAnsi="Cambria"/>
          <w:sz w:val="24"/>
          <w:szCs w:val="24"/>
        </w:rPr>
      </w:pPr>
      <w:r>
        <w:rPr>
          <w:rFonts w:ascii="Cambria" w:hAnsi="Cambria"/>
          <w:sz w:val="24"/>
          <w:szCs w:val="24"/>
        </w:rPr>
        <w:t xml:space="preserve">Le Conseil des ministres a pris un d’arrêté d’application portant sur la délibération de l’Assemblée de la Polynésie française du 22 juillet 1999 relative à l’utilisation et l’exploitation des aérodynes </w:t>
      </w:r>
      <w:proofErr w:type="spellStart"/>
      <w:r>
        <w:rPr>
          <w:rFonts w:ascii="Cambria" w:hAnsi="Cambria"/>
          <w:sz w:val="24"/>
          <w:szCs w:val="24"/>
        </w:rPr>
        <w:t>ultra-légers</w:t>
      </w:r>
      <w:proofErr w:type="spellEnd"/>
      <w:r>
        <w:rPr>
          <w:rFonts w:ascii="Cambria" w:hAnsi="Cambria"/>
          <w:sz w:val="24"/>
          <w:szCs w:val="24"/>
        </w:rPr>
        <w:t xml:space="preserve"> motorisés (ULM) en Polynésie française, ce texte ayant été récemment modifié par une délibération de l’Assemblée de la Polynésie française du 8 juillet dernier.</w:t>
      </w:r>
    </w:p>
    <w:p w:rsidR="00C34DFF" w:rsidRDefault="00C34DFF" w:rsidP="00C34DFF">
      <w:pPr>
        <w:pStyle w:val="Standard"/>
        <w:spacing w:before="120" w:after="0" w:line="240" w:lineRule="auto"/>
        <w:jc w:val="both"/>
        <w:rPr>
          <w:rFonts w:ascii="Cambria" w:hAnsi="Cambria"/>
          <w:sz w:val="24"/>
          <w:szCs w:val="24"/>
        </w:rPr>
      </w:pPr>
      <w:r>
        <w:rPr>
          <w:rFonts w:ascii="Cambria" w:hAnsi="Cambria"/>
          <w:sz w:val="24"/>
          <w:szCs w:val="24"/>
        </w:rPr>
        <w:t>Cet arrêté du Conseil des ministres vient instaurer des formalités de déclaration avec un formulaire et une liste de documents qui devront être déposés auprès du service chargé des transports aériens. Les modifications de l’activité de l’exploitant ou la suppression de l’activité feront l’objet d’une notification adressée par courrier au service instructeur.</w:t>
      </w:r>
    </w:p>
    <w:p w:rsidR="007A6288" w:rsidRDefault="007A6288" w:rsidP="007A6288">
      <w:pPr>
        <w:widowControl w:val="0"/>
        <w:autoSpaceDE w:val="0"/>
        <w:autoSpaceDN w:val="0"/>
        <w:adjustRightInd w:val="0"/>
        <w:jc w:val="both"/>
        <w:rPr>
          <w:rFonts w:ascii="Cambria" w:hAnsi="Cambria" w:cs="Century Schoolbook"/>
        </w:rPr>
      </w:pPr>
    </w:p>
    <w:p w:rsidR="007A6288" w:rsidRDefault="007A6288" w:rsidP="007A6288">
      <w:pPr>
        <w:widowControl w:val="0"/>
        <w:autoSpaceDE w:val="0"/>
        <w:autoSpaceDN w:val="0"/>
        <w:adjustRightInd w:val="0"/>
        <w:jc w:val="both"/>
        <w:rPr>
          <w:rFonts w:ascii="Cambria" w:hAnsi="Cambria" w:cs="Century Schoolbook"/>
        </w:rPr>
      </w:pPr>
    </w:p>
    <w:p w:rsidR="007A6288" w:rsidRDefault="007A6288" w:rsidP="007A6288">
      <w:pPr>
        <w:widowControl w:val="0"/>
        <w:autoSpaceDE w:val="0"/>
        <w:autoSpaceDN w:val="0"/>
        <w:adjustRightInd w:val="0"/>
        <w:jc w:val="both"/>
        <w:rPr>
          <w:rFonts w:ascii="Cambria" w:hAnsi="Cambria"/>
          <w:b/>
        </w:rPr>
      </w:pPr>
      <w:r>
        <w:rPr>
          <w:rFonts w:ascii="Cambria" w:hAnsi="Cambria"/>
          <w:b/>
        </w:rPr>
        <w:t xml:space="preserve">Mission d’assistance à la mise en œuvre de la politique forestière : </w:t>
      </w:r>
      <w:r>
        <w:rPr>
          <w:rFonts w:ascii="Cambria" w:hAnsi="Cambria" w:cs="Century Schoolbook"/>
          <w:b/>
        </w:rPr>
        <w:t xml:space="preserve">convention entre </w:t>
      </w:r>
      <w:r>
        <w:rPr>
          <w:rFonts w:ascii="Cambria" w:hAnsi="Cambria"/>
          <w:b/>
        </w:rPr>
        <w:t xml:space="preserve">la Polynésie française et l’Office National des Forêts International (ONFI)  </w:t>
      </w:r>
      <w:bookmarkStart w:id="0" w:name="objet_convention"/>
    </w:p>
    <w:bookmarkEnd w:id="0"/>
    <w:p w:rsidR="007A6288" w:rsidRDefault="007A6288" w:rsidP="007A6288">
      <w:pPr>
        <w:widowControl w:val="0"/>
        <w:autoSpaceDE w:val="0"/>
        <w:autoSpaceDN w:val="0"/>
        <w:adjustRightInd w:val="0"/>
        <w:jc w:val="both"/>
        <w:rPr>
          <w:rFonts w:ascii="Cambria" w:hAnsi="Cambria" w:cs="Century Schoolbook"/>
          <w:b/>
        </w:rPr>
      </w:pPr>
    </w:p>
    <w:p w:rsidR="007A6288" w:rsidRDefault="007A6288" w:rsidP="007A6288">
      <w:pPr>
        <w:widowControl w:val="0"/>
        <w:autoSpaceDE w:val="0"/>
        <w:autoSpaceDN w:val="0"/>
        <w:adjustRightInd w:val="0"/>
        <w:jc w:val="both"/>
        <w:rPr>
          <w:rFonts w:ascii="Cambria" w:hAnsi="Cambria" w:cs="Century Schoolbook"/>
        </w:rPr>
      </w:pPr>
      <w:r>
        <w:rPr>
          <w:rFonts w:ascii="Cambria" w:hAnsi="Cambria" w:cs="Century Schoolbook"/>
        </w:rPr>
        <w:t xml:space="preserve">Le ministre en charge de l’Economie verte a présenté, en Conseil des ministres, une convention entre la Polynésie française et l’Office National des forêts International (ONFI) relative à une mission d’assistance à la mise en œuvre de la politique forestière par la </w:t>
      </w:r>
      <w:r>
        <w:rPr>
          <w:rFonts w:ascii="Cambria" w:hAnsi="Cambria" w:cs="Century Schoolbook"/>
        </w:rPr>
        <w:lastRenderedPageBreak/>
        <w:t xml:space="preserve">Polynésie française. </w:t>
      </w:r>
    </w:p>
    <w:p w:rsidR="007A6288" w:rsidRDefault="007A6288" w:rsidP="007A6288">
      <w:pPr>
        <w:widowControl w:val="0"/>
        <w:autoSpaceDE w:val="0"/>
        <w:autoSpaceDN w:val="0"/>
        <w:adjustRightInd w:val="0"/>
        <w:jc w:val="both"/>
        <w:rPr>
          <w:rFonts w:ascii="Cambria" w:hAnsi="Cambria" w:cs="Century Schoolbook"/>
        </w:rPr>
      </w:pPr>
    </w:p>
    <w:p w:rsidR="007A6288" w:rsidRDefault="007A6288" w:rsidP="007A6288">
      <w:pPr>
        <w:pStyle w:val="NormalWeb"/>
        <w:spacing w:before="0" w:beforeAutospacing="0" w:after="0" w:afterAutospacing="0"/>
        <w:jc w:val="both"/>
        <w:rPr>
          <w:rFonts w:ascii="Cambria" w:hAnsi="Cambria"/>
        </w:rPr>
      </w:pPr>
      <w:r>
        <w:rPr>
          <w:rFonts w:ascii="Cambria" w:hAnsi="Cambria"/>
        </w:rPr>
        <w:t xml:space="preserve">Créée en 1997, ONF International valorise à travers le monde le </w:t>
      </w:r>
      <w:r w:rsidRPr="00623D89">
        <w:rPr>
          <w:rStyle w:val="lev"/>
          <w:rFonts w:ascii="Cambria" w:hAnsi="Cambria"/>
          <w:b w:val="0"/>
        </w:rPr>
        <w:t>savoir-faire français, en matière de gestion forestière</w:t>
      </w:r>
      <w:r w:rsidRPr="00623D89">
        <w:rPr>
          <w:rFonts w:ascii="Cambria" w:hAnsi="Cambria"/>
          <w:b/>
        </w:rPr>
        <w:t xml:space="preserve">. </w:t>
      </w:r>
      <w:r w:rsidRPr="00623D89">
        <w:rPr>
          <w:rFonts w:ascii="Cambria" w:hAnsi="Cambria"/>
        </w:rPr>
        <w:t>Filiale de l’Office</w:t>
      </w:r>
      <w:r>
        <w:rPr>
          <w:rFonts w:ascii="Cambria" w:hAnsi="Cambria"/>
        </w:rPr>
        <w:t xml:space="preserve"> National des Forêts français (ONF), l’ONFI appuie le secteur public et privé dans tous les aspects de la gestion forestière : inventaires, plan d’aménagement, suivi forestier, appui à la certification. ONFI conseille les acteurs publics et privés sur les aspects stratégiques de la gestion des écosystèmes forestiers et de ses produits. </w:t>
      </w:r>
    </w:p>
    <w:p w:rsidR="007A6288" w:rsidRDefault="007A6288" w:rsidP="007A6288">
      <w:pPr>
        <w:widowControl w:val="0"/>
        <w:autoSpaceDE w:val="0"/>
        <w:autoSpaceDN w:val="0"/>
        <w:adjustRightInd w:val="0"/>
        <w:jc w:val="both"/>
        <w:rPr>
          <w:rFonts w:ascii="Cambria" w:hAnsi="Cambria" w:cs="Century Schoolbook"/>
          <w:b/>
        </w:rPr>
      </w:pPr>
    </w:p>
    <w:p w:rsidR="007A6288" w:rsidRDefault="007A6288" w:rsidP="007A6288">
      <w:pPr>
        <w:widowControl w:val="0"/>
        <w:autoSpaceDE w:val="0"/>
        <w:autoSpaceDN w:val="0"/>
        <w:adjustRightInd w:val="0"/>
        <w:jc w:val="both"/>
        <w:rPr>
          <w:rFonts w:ascii="Cambria" w:hAnsi="Cambria"/>
          <w:lang w:eastAsia="fr-FR"/>
        </w:rPr>
      </w:pPr>
      <w:r>
        <w:rPr>
          <w:rFonts w:ascii="Cambria" w:hAnsi="Cambria" w:cs="Century Schoolbook"/>
        </w:rPr>
        <w:t>C’est au titre d’une convention-cadre</w:t>
      </w:r>
      <w:r>
        <w:rPr>
          <w:rFonts w:ascii="Cambria" w:hAnsi="Cambria"/>
        </w:rPr>
        <w:t xml:space="preserve"> relative au soutien de l’Etat pour le développement de l’agriculture en Polynésie française, </w:t>
      </w:r>
      <w:r>
        <w:rPr>
          <w:rFonts w:ascii="Cambria" w:hAnsi="Cambria"/>
          <w:lang w:eastAsia="fr-FR"/>
        </w:rPr>
        <w:t xml:space="preserve">que cette convention avec l’ONFI a été proposée afin de permettre la mise en œuvre de la politique forestière, durant 3 ans, notamment par l’aide au recrutement et l’accompagnement d’un ingénieur forestier senior en matière de gestion durable, d’exploitation forestière à faible impact et de commercialisation du bois, et par la réalisation de 9 missions d’appui thématiques dont l’inventaire des plantations de pins ou la valorisation du bois de cocotiers, avec également une évaluation des services éco systémiques de la forêt naturelle et un appui technique pour la mise en place de systèmes et filières agroforestières. </w:t>
      </w:r>
    </w:p>
    <w:p w:rsidR="007A6288" w:rsidRDefault="007A6288" w:rsidP="007A6288">
      <w:pPr>
        <w:widowControl w:val="0"/>
        <w:autoSpaceDE w:val="0"/>
        <w:autoSpaceDN w:val="0"/>
        <w:adjustRightInd w:val="0"/>
        <w:jc w:val="both"/>
        <w:rPr>
          <w:rFonts w:ascii="Cambria" w:hAnsi="Cambria"/>
          <w:lang w:eastAsia="fr-FR"/>
        </w:rPr>
      </w:pPr>
    </w:p>
    <w:p w:rsidR="007A6288" w:rsidRDefault="007A6288" w:rsidP="007A6288">
      <w:pPr>
        <w:widowControl w:val="0"/>
        <w:autoSpaceDE w:val="0"/>
        <w:autoSpaceDN w:val="0"/>
        <w:adjustRightInd w:val="0"/>
        <w:jc w:val="both"/>
        <w:rPr>
          <w:rFonts w:ascii="Cambria" w:hAnsi="Cambria"/>
          <w:lang w:eastAsia="fr-FR"/>
        </w:rPr>
      </w:pPr>
    </w:p>
    <w:p w:rsidR="007A6288" w:rsidRDefault="007A6288" w:rsidP="007A6288">
      <w:pPr>
        <w:widowControl w:val="0"/>
        <w:autoSpaceDE w:val="0"/>
        <w:autoSpaceDN w:val="0"/>
        <w:adjustRightInd w:val="0"/>
        <w:jc w:val="both"/>
        <w:rPr>
          <w:rFonts w:ascii="Cambria" w:hAnsi="Cambria" w:cs="Century Schoolbook"/>
          <w:b/>
        </w:rPr>
      </w:pPr>
      <w:r>
        <w:rPr>
          <w:rFonts w:ascii="Cambria" w:hAnsi="Cambria" w:cs="Century Schoolbook"/>
          <w:b/>
        </w:rPr>
        <w:t>Coopération scientifique et technique pour l’agriculture : accord-cadre entre le CIRAD, l’INRA et la Polynésie française</w:t>
      </w:r>
    </w:p>
    <w:p w:rsidR="007A6288" w:rsidRPr="006138DD" w:rsidRDefault="007A6288" w:rsidP="007A6288">
      <w:pPr>
        <w:widowControl w:val="0"/>
        <w:autoSpaceDE w:val="0"/>
        <w:autoSpaceDN w:val="0"/>
        <w:adjustRightInd w:val="0"/>
        <w:jc w:val="both"/>
        <w:rPr>
          <w:rFonts w:ascii="Cambria" w:hAnsi="Cambria" w:cs="Century Schoolbook"/>
          <w:b/>
        </w:rPr>
      </w:pPr>
    </w:p>
    <w:p w:rsidR="007A6288" w:rsidRDefault="007A6288" w:rsidP="007A6288">
      <w:pPr>
        <w:widowControl w:val="0"/>
        <w:autoSpaceDE w:val="0"/>
        <w:autoSpaceDN w:val="0"/>
        <w:adjustRightInd w:val="0"/>
        <w:jc w:val="both"/>
        <w:rPr>
          <w:rFonts w:ascii="Cambria" w:hAnsi="Cambria" w:cs="Century Schoolbook"/>
        </w:rPr>
      </w:pPr>
      <w:r>
        <w:rPr>
          <w:rFonts w:ascii="Cambria" w:hAnsi="Cambria" w:cs="Century Schoolbook"/>
        </w:rPr>
        <w:t>Le Conseil des ministres a approuvé un projet d’accord-cadre entre le Centre de coopération internationale en recherche agronomique pour le développement (CIRAD), l’Institut national de la recherche agronomique (INRA) et la Polynésie française relatif à une coopération scientifique et technique pour l’agriculture, sur une durée de 5 ans.</w:t>
      </w:r>
    </w:p>
    <w:p w:rsidR="007A6288" w:rsidRDefault="007A6288" w:rsidP="007A6288">
      <w:pPr>
        <w:widowControl w:val="0"/>
        <w:autoSpaceDE w:val="0"/>
        <w:autoSpaceDN w:val="0"/>
        <w:adjustRightInd w:val="0"/>
        <w:jc w:val="both"/>
        <w:rPr>
          <w:rFonts w:ascii="Cambria" w:hAnsi="Cambria" w:cs="Century Schoolbook"/>
        </w:rPr>
      </w:pPr>
    </w:p>
    <w:p w:rsidR="007A6288" w:rsidRDefault="007A6288" w:rsidP="007A6288">
      <w:pPr>
        <w:spacing w:after="120"/>
        <w:jc w:val="both"/>
        <w:rPr>
          <w:rFonts w:ascii="Cambria" w:hAnsi="Cambria"/>
        </w:rPr>
      </w:pPr>
      <w:r>
        <w:rPr>
          <w:rFonts w:ascii="Cambria" w:hAnsi="Cambria" w:cs="Century Schoolbook"/>
        </w:rPr>
        <w:t xml:space="preserve">En accord avec les programmations du CIRAD et de l’INRA </w:t>
      </w:r>
      <w:r>
        <w:rPr>
          <w:rFonts w:ascii="Cambria" w:hAnsi="Cambria"/>
        </w:rPr>
        <w:t xml:space="preserve">et au regard de la stratégie du </w:t>
      </w:r>
      <w:r>
        <w:rPr>
          <w:rFonts w:ascii="Cambria" w:hAnsi="Cambria"/>
          <w:bCs/>
        </w:rPr>
        <w:t>ministère en charge de l’Economie verte et du Domaine</w:t>
      </w:r>
      <w:r>
        <w:rPr>
          <w:rFonts w:ascii="Cambria" w:hAnsi="Cambria"/>
        </w:rPr>
        <w:t>, des axes prioritaires de collaboration ont été identifiés, tels que l’</w:t>
      </w:r>
      <w:proofErr w:type="spellStart"/>
      <w:r>
        <w:rPr>
          <w:rFonts w:ascii="Cambria" w:hAnsi="Cambria"/>
        </w:rPr>
        <w:t>épidémio</w:t>
      </w:r>
      <w:proofErr w:type="spellEnd"/>
      <w:r>
        <w:rPr>
          <w:rFonts w:ascii="Cambria" w:hAnsi="Cambria"/>
        </w:rPr>
        <w:t xml:space="preserve">-surveillance et le </w:t>
      </w:r>
      <w:proofErr w:type="spellStart"/>
      <w:r>
        <w:rPr>
          <w:rFonts w:ascii="Cambria" w:hAnsi="Cambria"/>
        </w:rPr>
        <w:t>biocontrôle</w:t>
      </w:r>
      <w:proofErr w:type="spellEnd"/>
      <w:r>
        <w:rPr>
          <w:rFonts w:ascii="Cambria" w:hAnsi="Cambria"/>
        </w:rPr>
        <w:t xml:space="preserve">, le développement de systèmes de culture limitant l’usage des herbicides chimiques et/ou l’écobuage et la formation du personnel technique en charge des programmes de recherche/développement et l’appui aux producteurs. </w:t>
      </w:r>
    </w:p>
    <w:p w:rsidR="007A6288" w:rsidRDefault="007A6288" w:rsidP="007A6288">
      <w:pPr>
        <w:jc w:val="both"/>
        <w:rPr>
          <w:rFonts w:ascii="Cambria" w:hAnsi="Cambria"/>
          <w:color w:val="000000"/>
        </w:rPr>
      </w:pPr>
      <w:r>
        <w:rPr>
          <w:rFonts w:ascii="Cambria" w:hAnsi="Cambria"/>
          <w:color w:val="000000"/>
        </w:rPr>
        <w:t xml:space="preserve">Un comité tripartite, dont le secrétariat sera assuré par la Direction de l’agriculture, proposera les actions à engager, la réalisation de ces actions, l’approbation des réalisations des opérations engagées, l’évaluation de l’opportunité et les modalités de la poursuite des actions de recherche engagées à l’expiration de l’accord. </w:t>
      </w:r>
    </w:p>
    <w:p w:rsidR="007A6288" w:rsidRDefault="007A6288" w:rsidP="007A6288">
      <w:pPr>
        <w:jc w:val="both"/>
        <w:rPr>
          <w:rFonts w:ascii="Cambria" w:hAnsi="Cambria"/>
          <w:color w:val="000000"/>
        </w:rPr>
      </w:pPr>
    </w:p>
    <w:p w:rsidR="007A6288" w:rsidRDefault="007A6288" w:rsidP="007A6288">
      <w:pPr>
        <w:jc w:val="both"/>
        <w:rPr>
          <w:rFonts w:ascii="Cambria" w:hAnsi="Cambria"/>
          <w:color w:val="000000"/>
        </w:rPr>
      </w:pPr>
    </w:p>
    <w:p w:rsidR="007A6288" w:rsidRPr="000C0FFB" w:rsidRDefault="007A6288" w:rsidP="007A6288">
      <w:pPr>
        <w:rPr>
          <w:rFonts w:ascii="Cambria" w:hAnsi="Cambria"/>
          <w:b/>
        </w:rPr>
      </w:pPr>
      <w:r w:rsidRPr="000C0FFB">
        <w:rPr>
          <w:rFonts w:ascii="Cambria" w:hAnsi="Cambria"/>
          <w:b/>
        </w:rPr>
        <w:t xml:space="preserve">Présentation du </w:t>
      </w:r>
      <w:r>
        <w:rPr>
          <w:rFonts w:ascii="Cambria" w:hAnsi="Cambria"/>
          <w:b/>
        </w:rPr>
        <w:t>premi</w:t>
      </w:r>
      <w:r w:rsidRPr="000C0FFB">
        <w:rPr>
          <w:rFonts w:ascii="Cambria" w:hAnsi="Cambria"/>
          <w:b/>
        </w:rPr>
        <w:t xml:space="preserve">er </w:t>
      </w:r>
      <w:r>
        <w:rPr>
          <w:rFonts w:ascii="Cambria" w:hAnsi="Cambria"/>
          <w:b/>
        </w:rPr>
        <w:t>c</w:t>
      </w:r>
      <w:r w:rsidRPr="000C0FFB">
        <w:rPr>
          <w:rFonts w:ascii="Cambria" w:hAnsi="Cambria"/>
          <w:b/>
        </w:rPr>
        <w:t xml:space="preserve">oncert </w:t>
      </w:r>
      <w:proofErr w:type="spellStart"/>
      <w:r w:rsidRPr="000C0FFB">
        <w:rPr>
          <w:rFonts w:ascii="Cambria" w:hAnsi="Cambria"/>
          <w:b/>
        </w:rPr>
        <w:t>Tu’iro’o</w:t>
      </w:r>
      <w:proofErr w:type="spellEnd"/>
    </w:p>
    <w:p w:rsidR="007A6288" w:rsidRPr="000C0FFB" w:rsidRDefault="007A6288" w:rsidP="007A6288">
      <w:pPr>
        <w:spacing w:before="360"/>
        <w:jc w:val="both"/>
        <w:rPr>
          <w:rFonts w:ascii="Cambria" w:hAnsi="Cambria"/>
        </w:rPr>
      </w:pPr>
      <w:r w:rsidRPr="000C0FFB">
        <w:rPr>
          <w:rFonts w:ascii="Cambria" w:hAnsi="Cambria"/>
        </w:rPr>
        <w:t xml:space="preserve">Te </w:t>
      </w:r>
      <w:proofErr w:type="spellStart"/>
      <w:r w:rsidRPr="000C0FFB">
        <w:rPr>
          <w:rFonts w:ascii="Cambria" w:hAnsi="Cambria"/>
        </w:rPr>
        <w:t>Fare</w:t>
      </w:r>
      <w:proofErr w:type="spellEnd"/>
      <w:r w:rsidRPr="000C0FFB">
        <w:rPr>
          <w:rFonts w:ascii="Cambria" w:hAnsi="Cambria"/>
        </w:rPr>
        <w:t xml:space="preserve"> Tauhiti Nui - Maison de la Culture organise </w:t>
      </w:r>
      <w:r>
        <w:rPr>
          <w:rFonts w:ascii="Cambria" w:hAnsi="Cambria"/>
        </w:rPr>
        <w:t>à</w:t>
      </w:r>
      <w:r w:rsidRPr="000C0FFB">
        <w:rPr>
          <w:rFonts w:ascii="Cambria" w:hAnsi="Cambria"/>
        </w:rPr>
        <w:t xml:space="preserve"> </w:t>
      </w:r>
      <w:proofErr w:type="spellStart"/>
      <w:r w:rsidRPr="000C0FFB">
        <w:rPr>
          <w:rFonts w:ascii="Cambria" w:hAnsi="Cambria"/>
        </w:rPr>
        <w:t>To’atā</w:t>
      </w:r>
      <w:proofErr w:type="spellEnd"/>
      <w:r w:rsidRPr="000C0FFB">
        <w:rPr>
          <w:rFonts w:ascii="Cambria" w:hAnsi="Cambria"/>
        </w:rPr>
        <w:t>, le vendredi 6 septembre prochain</w:t>
      </w:r>
      <w:r>
        <w:rPr>
          <w:rFonts w:ascii="Cambria" w:hAnsi="Cambria"/>
        </w:rPr>
        <w:t>,</w:t>
      </w:r>
      <w:r w:rsidRPr="000C0FFB">
        <w:rPr>
          <w:rFonts w:ascii="Cambria" w:hAnsi="Cambria"/>
        </w:rPr>
        <w:t xml:space="preserve"> à 19h30, un concert d’artistes polynésiennes de renom intitulé « Concert </w:t>
      </w:r>
      <w:proofErr w:type="spellStart"/>
      <w:r w:rsidRPr="000C0FFB">
        <w:rPr>
          <w:rFonts w:ascii="Cambria" w:hAnsi="Cambria"/>
        </w:rPr>
        <w:t>Tu’iro’o</w:t>
      </w:r>
      <w:proofErr w:type="spellEnd"/>
      <w:r w:rsidRPr="000C0FFB">
        <w:rPr>
          <w:rFonts w:ascii="Cambria" w:hAnsi="Cambria"/>
        </w:rPr>
        <w:t xml:space="preserve"> ». Cette scène mythique, écrin du Heiva et des artistes internationaux, va ainsi pouvoir être dédiée </w:t>
      </w:r>
      <w:r>
        <w:rPr>
          <w:rFonts w:ascii="Cambria" w:hAnsi="Cambria"/>
        </w:rPr>
        <w:t>aux</w:t>
      </w:r>
      <w:r w:rsidRPr="000C0FFB">
        <w:rPr>
          <w:rFonts w:ascii="Cambria" w:hAnsi="Cambria"/>
        </w:rPr>
        <w:t xml:space="preserve"> « grands noms » de la musique polynésienne.</w:t>
      </w:r>
    </w:p>
    <w:p w:rsidR="007A6288" w:rsidRPr="000C0FFB" w:rsidRDefault="007A6288" w:rsidP="007A6288">
      <w:pPr>
        <w:spacing w:before="120"/>
        <w:jc w:val="both"/>
        <w:rPr>
          <w:rFonts w:ascii="Cambria" w:hAnsi="Cambria"/>
        </w:rPr>
      </w:pPr>
      <w:r w:rsidRPr="000C0FFB">
        <w:rPr>
          <w:rFonts w:ascii="Cambria" w:hAnsi="Cambria"/>
        </w:rPr>
        <w:lastRenderedPageBreak/>
        <w:t xml:space="preserve">Pour cette première édition, l’établissement a souhaité mettre à l’honneur les plus belles voix des années 80 et du début des années 90, avec notamment : les </w:t>
      </w:r>
      <w:proofErr w:type="spellStart"/>
      <w:r w:rsidRPr="000C0FFB">
        <w:rPr>
          <w:rFonts w:ascii="Cambria" w:hAnsi="Cambria"/>
        </w:rPr>
        <w:t>Tefafano</w:t>
      </w:r>
      <w:proofErr w:type="spellEnd"/>
      <w:r w:rsidRPr="000C0FFB">
        <w:rPr>
          <w:rFonts w:ascii="Cambria" w:hAnsi="Cambria"/>
        </w:rPr>
        <w:t xml:space="preserve"> </w:t>
      </w:r>
      <w:proofErr w:type="spellStart"/>
      <w:r w:rsidRPr="000C0FFB">
        <w:rPr>
          <w:rFonts w:ascii="Cambria" w:hAnsi="Cambria"/>
        </w:rPr>
        <w:t>sisters</w:t>
      </w:r>
      <w:proofErr w:type="spellEnd"/>
      <w:r w:rsidRPr="000C0FFB">
        <w:rPr>
          <w:rFonts w:ascii="Cambria" w:hAnsi="Cambria"/>
        </w:rPr>
        <w:t xml:space="preserve">, mais aussi Maire </w:t>
      </w:r>
      <w:proofErr w:type="spellStart"/>
      <w:r w:rsidRPr="000C0FFB">
        <w:rPr>
          <w:rFonts w:ascii="Cambria" w:hAnsi="Cambria"/>
        </w:rPr>
        <w:t>Tavaearii</w:t>
      </w:r>
      <w:proofErr w:type="spellEnd"/>
      <w:r w:rsidRPr="000C0FFB">
        <w:rPr>
          <w:rFonts w:ascii="Cambria" w:hAnsi="Cambria"/>
        </w:rPr>
        <w:t xml:space="preserve">, </w:t>
      </w:r>
      <w:proofErr w:type="spellStart"/>
      <w:r w:rsidRPr="000C0FFB">
        <w:rPr>
          <w:rFonts w:ascii="Cambria" w:hAnsi="Cambria"/>
        </w:rPr>
        <w:t>Maruia</w:t>
      </w:r>
      <w:proofErr w:type="spellEnd"/>
      <w:r w:rsidRPr="000C0FFB">
        <w:rPr>
          <w:rFonts w:ascii="Cambria" w:hAnsi="Cambria"/>
        </w:rPr>
        <w:t xml:space="preserve"> Tapuarii et bien sûr Elise </w:t>
      </w:r>
      <w:proofErr w:type="spellStart"/>
      <w:r w:rsidRPr="000C0FFB">
        <w:rPr>
          <w:rFonts w:ascii="Cambria" w:hAnsi="Cambria"/>
        </w:rPr>
        <w:t>Tahua</w:t>
      </w:r>
      <w:proofErr w:type="spellEnd"/>
      <w:r w:rsidRPr="000C0FFB">
        <w:rPr>
          <w:rFonts w:ascii="Cambria" w:hAnsi="Cambria"/>
        </w:rPr>
        <w:t xml:space="preserve"> qui, toutes, ont marqué de leurs voix et de leurs tubes notre quotidien.</w:t>
      </w:r>
    </w:p>
    <w:p w:rsidR="007A6288" w:rsidRDefault="007A6288" w:rsidP="007A6288">
      <w:pPr>
        <w:spacing w:before="120"/>
        <w:jc w:val="both"/>
        <w:rPr>
          <w:rFonts w:ascii="Cambria" w:hAnsi="Cambria"/>
        </w:rPr>
      </w:pPr>
      <w:r w:rsidRPr="000C0FFB">
        <w:rPr>
          <w:rFonts w:ascii="Cambria" w:hAnsi="Cambria"/>
        </w:rPr>
        <w:t xml:space="preserve">Sous la houlette de Bruno </w:t>
      </w:r>
      <w:proofErr w:type="spellStart"/>
      <w:r w:rsidRPr="000C0FFB">
        <w:rPr>
          <w:rFonts w:ascii="Cambria" w:hAnsi="Cambria"/>
        </w:rPr>
        <w:t>Demougeot</w:t>
      </w:r>
      <w:proofErr w:type="spellEnd"/>
      <w:r w:rsidRPr="000C0FFB">
        <w:rPr>
          <w:rFonts w:ascii="Cambria" w:hAnsi="Cambria"/>
        </w:rPr>
        <w:t>, chef d’orchestre talentueux, en solo, duo ou trio, elles vont faire vibrer le public le temps d’une soirée mémorable.</w:t>
      </w:r>
      <w:r>
        <w:rPr>
          <w:rFonts w:ascii="Cambria" w:hAnsi="Cambria"/>
        </w:rPr>
        <w:t xml:space="preserve"> </w:t>
      </w:r>
      <w:r w:rsidRPr="000C0FFB">
        <w:rPr>
          <w:rFonts w:ascii="Cambria" w:hAnsi="Cambria"/>
        </w:rPr>
        <w:t>Afin de rendre accessible cet évènement au plus large public, le tarif a été fixé à 1 500 </w:t>
      </w:r>
      <w:proofErr w:type="spellStart"/>
      <w:r w:rsidRPr="000C0FFB">
        <w:rPr>
          <w:rFonts w:ascii="Cambria" w:hAnsi="Cambria"/>
        </w:rPr>
        <w:t>Fcfp</w:t>
      </w:r>
      <w:proofErr w:type="spellEnd"/>
      <w:r w:rsidRPr="000C0FFB">
        <w:rPr>
          <w:rFonts w:ascii="Cambria" w:hAnsi="Cambria"/>
        </w:rPr>
        <w:t>, av</w:t>
      </w:r>
      <w:r>
        <w:rPr>
          <w:rFonts w:ascii="Cambria" w:hAnsi="Cambria"/>
        </w:rPr>
        <w:t>ec un tarif enfant à 1 000 </w:t>
      </w:r>
      <w:proofErr w:type="spellStart"/>
      <w:r>
        <w:rPr>
          <w:rFonts w:ascii="Cambria" w:hAnsi="Cambria"/>
        </w:rPr>
        <w:t>Fcfp</w:t>
      </w:r>
      <w:proofErr w:type="spellEnd"/>
      <w:r w:rsidRPr="000C0FFB">
        <w:rPr>
          <w:rFonts w:ascii="Cambria" w:hAnsi="Cambria"/>
        </w:rPr>
        <w:t>.</w:t>
      </w:r>
    </w:p>
    <w:p w:rsidR="007A6288" w:rsidRPr="000C0FFB" w:rsidRDefault="007A6288" w:rsidP="007A6288">
      <w:pPr>
        <w:spacing w:before="120"/>
        <w:jc w:val="both"/>
        <w:rPr>
          <w:rFonts w:ascii="Cambria" w:hAnsi="Cambria"/>
        </w:rPr>
      </w:pPr>
    </w:p>
    <w:p w:rsidR="007A6288" w:rsidRDefault="007A6288" w:rsidP="007A6288">
      <w:pPr>
        <w:jc w:val="both"/>
        <w:rPr>
          <w:rFonts w:ascii="Cambria" w:hAnsi="Cambria"/>
          <w:color w:val="000000"/>
        </w:rPr>
      </w:pPr>
    </w:p>
    <w:p w:rsidR="007A6288" w:rsidRPr="00E77594" w:rsidRDefault="007A6288" w:rsidP="007A6288">
      <w:pPr>
        <w:widowControl w:val="0"/>
        <w:autoSpaceDE w:val="0"/>
        <w:autoSpaceDN w:val="0"/>
        <w:adjustRightInd w:val="0"/>
        <w:jc w:val="both"/>
        <w:rPr>
          <w:rFonts w:asciiTheme="majorHAnsi" w:hAnsiTheme="majorHAnsi" w:cs="Century Schoolbook"/>
          <w:b/>
        </w:rPr>
      </w:pPr>
      <w:r>
        <w:rPr>
          <w:rFonts w:asciiTheme="majorHAnsi" w:hAnsiTheme="majorHAnsi" w:cs="Century Schoolbook"/>
          <w:b/>
        </w:rPr>
        <w:t>C</w:t>
      </w:r>
      <w:r w:rsidRPr="00E77594">
        <w:rPr>
          <w:rFonts w:asciiTheme="majorHAnsi" w:hAnsiTheme="majorHAnsi" w:cs="Century Schoolbook"/>
          <w:b/>
        </w:rPr>
        <w:t>omptes administratifs 2018 du Centre Hospitalier de la Polynésie française (CHPF)</w:t>
      </w:r>
    </w:p>
    <w:p w:rsidR="007A6288" w:rsidRPr="003971FE" w:rsidRDefault="007A6288" w:rsidP="007A6288">
      <w:pPr>
        <w:spacing w:before="120"/>
        <w:jc w:val="both"/>
        <w:rPr>
          <w:rFonts w:asciiTheme="majorHAnsi" w:hAnsiTheme="majorHAnsi"/>
        </w:rPr>
      </w:pPr>
      <w:r w:rsidRPr="003971FE">
        <w:rPr>
          <w:rFonts w:asciiTheme="majorHAnsi" w:hAnsiTheme="majorHAnsi"/>
        </w:rPr>
        <w:t>Le Conseil des ministres a rendu exécutoire et transmis à l’Assemblée de la Polynésie française</w:t>
      </w:r>
      <w:r>
        <w:rPr>
          <w:rFonts w:asciiTheme="majorHAnsi" w:hAnsiTheme="majorHAnsi"/>
        </w:rPr>
        <w:t>,</w:t>
      </w:r>
      <w:r w:rsidRPr="003971FE">
        <w:rPr>
          <w:rFonts w:asciiTheme="majorHAnsi" w:hAnsiTheme="majorHAnsi"/>
        </w:rPr>
        <w:t xml:space="preserve"> pour adoption</w:t>
      </w:r>
      <w:r>
        <w:rPr>
          <w:rFonts w:asciiTheme="majorHAnsi" w:hAnsiTheme="majorHAnsi"/>
        </w:rPr>
        <w:t>,</w:t>
      </w:r>
      <w:r w:rsidRPr="003971FE">
        <w:rPr>
          <w:rFonts w:asciiTheme="majorHAnsi" w:hAnsiTheme="majorHAnsi"/>
        </w:rPr>
        <w:t xml:space="preserve"> les comptes administratifs du Centre hospitalier de la Polynésie française</w:t>
      </w:r>
      <w:r>
        <w:rPr>
          <w:rFonts w:asciiTheme="majorHAnsi" w:hAnsiTheme="majorHAnsi"/>
        </w:rPr>
        <w:t xml:space="preserve"> (CHPF)</w:t>
      </w:r>
      <w:r w:rsidRPr="003971FE">
        <w:rPr>
          <w:rFonts w:asciiTheme="majorHAnsi" w:hAnsiTheme="majorHAnsi"/>
        </w:rPr>
        <w:t xml:space="preserve"> et de ses budgets annexes.</w:t>
      </w:r>
    </w:p>
    <w:p w:rsidR="007A6288" w:rsidRPr="003971FE" w:rsidRDefault="007A6288" w:rsidP="007A6288">
      <w:pPr>
        <w:spacing w:before="120"/>
        <w:jc w:val="both"/>
        <w:rPr>
          <w:rFonts w:asciiTheme="majorHAnsi" w:hAnsiTheme="majorHAnsi"/>
        </w:rPr>
      </w:pPr>
      <w:r w:rsidRPr="003971FE">
        <w:rPr>
          <w:rFonts w:asciiTheme="majorHAnsi" w:hAnsiTheme="majorHAnsi"/>
        </w:rPr>
        <w:t xml:space="preserve">La consolidation de ces différents éléments ressort de la manière suivante, en </w:t>
      </w:r>
      <w:proofErr w:type="spellStart"/>
      <w:r w:rsidRPr="003971FE">
        <w:rPr>
          <w:rFonts w:asciiTheme="majorHAnsi" w:hAnsiTheme="majorHAnsi"/>
        </w:rPr>
        <w:t>Fcfp</w:t>
      </w:r>
      <w:proofErr w:type="spellEnd"/>
      <w:r w:rsidRPr="003971FE">
        <w:rPr>
          <w:rFonts w:asciiTheme="majorHAnsi" w:hAnsiTheme="majorHAnsi"/>
        </w:rPr>
        <w:t xml:space="preserve"> : </w:t>
      </w:r>
    </w:p>
    <w:p w:rsidR="007A6288" w:rsidRPr="003971FE" w:rsidRDefault="007A6288" w:rsidP="007A6288">
      <w:pPr>
        <w:spacing w:before="120"/>
        <w:jc w:val="center"/>
        <w:rPr>
          <w:rFonts w:asciiTheme="majorHAnsi" w:hAnsiTheme="majorHAnsi"/>
        </w:rPr>
      </w:pPr>
      <w:r w:rsidRPr="003971FE">
        <w:rPr>
          <w:rFonts w:asciiTheme="majorHAnsi" w:hAnsiTheme="majorHAnsi" w:cs="Tahoma"/>
          <w:noProof/>
          <w:lang w:eastAsia="fr-FR"/>
        </w:rPr>
        <w:drawing>
          <wp:inline distT="0" distB="0" distL="0" distR="0" wp14:anchorId="31C3A95E" wp14:editId="3A4542EE">
            <wp:extent cx="5057029" cy="1439381"/>
            <wp:effectExtent l="0" t="0" r="0" b="889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0463" cy="1440359"/>
                    </a:xfrm>
                    <a:prstGeom prst="rect">
                      <a:avLst/>
                    </a:prstGeom>
                    <a:noFill/>
                    <a:ln>
                      <a:noFill/>
                    </a:ln>
                  </pic:spPr>
                </pic:pic>
              </a:graphicData>
            </a:graphic>
          </wp:inline>
        </w:drawing>
      </w:r>
    </w:p>
    <w:p w:rsidR="007A6288" w:rsidRPr="003971FE" w:rsidRDefault="007A6288" w:rsidP="007A6288">
      <w:pPr>
        <w:spacing w:before="120"/>
        <w:jc w:val="both"/>
        <w:rPr>
          <w:rFonts w:asciiTheme="majorHAnsi" w:hAnsiTheme="majorHAnsi"/>
        </w:rPr>
      </w:pPr>
      <w:r w:rsidRPr="003971FE">
        <w:rPr>
          <w:rFonts w:asciiTheme="majorHAnsi" w:hAnsiTheme="majorHAnsi"/>
        </w:rPr>
        <w:t>Le déficit global de l’établissement</w:t>
      </w:r>
      <w:r>
        <w:rPr>
          <w:rFonts w:asciiTheme="majorHAnsi" w:hAnsiTheme="majorHAnsi"/>
        </w:rPr>
        <w:t xml:space="preserve"> est</w:t>
      </w:r>
      <w:r w:rsidRPr="003971FE">
        <w:rPr>
          <w:rFonts w:asciiTheme="majorHAnsi" w:hAnsiTheme="majorHAnsi"/>
        </w:rPr>
        <w:t xml:space="preserve"> inférieur de 255 millions </w:t>
      </w:r>
      <w:proofErr w:type="spellStart"/>
      <w:r w:rsidRPr="003971FE">
        <w:rPr>
          <w:rFonts w:asciiTheme="majorHAnsi" w:hAnsiTheme="majorHAnsi"/>
        </w:rPr>
        <w:t>Fcfp</w:t>
      </w:r>
      <w:proofErr w:type="spellEnd"/>
      <w:r w:rsidRPr="003971FE">
        <w:rPr>
          <w:rFonts w:asciiTheme="majorHAnsi" w:hAnsiTheme="majorHAnsi"/>
        </w:rPr>
        <w:t xml:space="preserve"> à celui constaté en 2017.</w:t>
      </w:r>
    </w:p>
    <w:p w:rsidR="007A6288" w:rsidRPr="006138DD" w:rsidRDefault="007A6288" w:rsidP="007A6288">
      <w:pPr>
        <w:spacing w:before="120"/>
        <w:jc w:val="both"/>
        <w:rPr>
          <w:rFonts w:asciiTheme="majorHAnsi" w:hAnsiTheme="majorHAnsi"/>
        </w:rPr>
      </w:pPr>
      <w:r w:rsidRPr="003971FE">
        <w:rPr>
          <w:rFonts w:asciiTheme="majorHAnsi" w:hAnsiTheme="majorHAnsi"/>
        </w:rPr>
        <w:t xml:space="preserve">Cette amélioration relative des comptes de l’établissement est imputable </w:t>
      </w:r>
      <w:r>
        <w:rPr>
          <w:rFonts w:asciiTheme="majorHAnsi" w:hAnsiTheme="majorHAnsi"/>
        </w:rPr>
        <w:t>notamment aux</w:t>
      </w:r>
      <w:r w:rsidRPr="006138DD">
        <w:rPr>
          <w:rFonts w:asciiTheme="majorHAnsi" w:hAnsiTheme="majorHAnsi"/>
        </w:rPr>
        <w:t xml:space="preserve"> importants efforts de gestion réalisés pour faire face aux coûts d’exploitation du site de </w:t>
      </w:r>
      <w:proofErr w:type="spellStart"/>
      <w:r w:rsidRPr="006138DD">
        <w:rPr>
          <w:rFonts w:asciiTheme="majorHAnsi" w:hAnsiTheme="majorHAnsi"/>
        </w:rPr>
        <w:t>Taaone</w:t>
      </w:r>
      <w:proofErr w:type="spellEnd"/>
      <w:r w:rsidRPr="006138DD">
        <w:rPr>
          <w:rFonts w:asciiTheme="majorHAnsi" w:hAnsiTheme="majorHAnsi"/>
        </w:rPr>
        <w:t xml:space="preserve"> tout en satisfaisant une demande croissante de soins : les dépenses de fonctionnement n’ont ainsi augmenté que de 11 points entre 2011 et 2018, pour une a</w:t>
      </w:r>
      <w:r>
        <w:rPr>
          <w:rFonts w:asciiTheme="majorHAnsi" w:hAnsiTheme="majorHAnsi"/>
        </w:rPr>
        <w:t>ctivité en hausse de 23 points.</w:t>
      </w:r>
    </w:p>
    <w:p w:rsidR="007A6288" w:rsidRPr="003971FE" w:rsidRDefault="007A6288" w:rsidP="007A6288">
      <w:pPr>
        <w:spacing w:before="120"/>
        <w:jc w:val="both"/>
        <w:rPr>
          <w:rFonts w:asciiTheme="majorHAnsi" w:hAnsiTheme="majorHAnsi"/>
        </w:rPr>
      </w:pPr>
      <w:r w:rsidRPr="003971FE">
        <w:rPr>
          <w:rFonts w:asciiTheme="majorHAnsi" w:hAnsiTheme="majorHAnsi"/>
        </w:rPr>
        <w:t>L’étude attentive des tendances montre cependant que les activités de soins – budget principal (CHPF) et département de psychiatrie – sont structurellement sous-financées dans un contexte de complexification croissante des prises en charges, d’augmentation du coût des médicaments et de forte insuffisance des structures alternatives à l’hospitalisation qui impacte fortement la durée moyenne des hospitalisations en l’absence, souvent, d’alternative.</w:t>
      </w:r>
    </w:p>
    <w:p w:rsidR="007A6288" w:rsidRPr="003971FE" w:rsidRDefault="007A6288" w:rsidP="007A6288">
      <w:pPr>
        <w:spacing w:before="120"/>
        <w:jc w:val="both"/>
        <w:rPr>
          <w:rFonts w:asciiTheme="majorHAnsi" w:hAnsiTheme="majorHAnsi"/>
        </w:rPr>
      </w:pPr>
      <w:r w:rsidRPr="003971FE">
        <w:rPr>
          <w:rFonts w:asciiTheme="majorHAnsi" w:hAnsiTheme="majorHAnsi"/>
        </w:rPr>
        <w:t>Les activités annexes – école de sages-femmes, centre de transfusion sanguine, Samu et hôtel des familles –  terminent pour leur part l’exercice en bénéfice.</w:t>
      </w:r>
    </w:p>
    <w:p w:rsidR="007A6288" w:rsidRDefault="007A6288" w:rsidP="007A6288">
      <w:pPr>
        <w:spacing w:before="120"/>
        <w:jc w:val="both"/>
        <w:rPr>
          <w:rFonts w:asciiTheme="majorHAnsi" w:hAnsiTheme="majorHAnsi"/>
        </w:rPr>
      </w:pPr>
      <w:r w:rsidRPr="003971FE">
        <w:rPr>
          <w:rFonts w:asciiTheme="majorHAnsi" w:hAnsiTheme="majorHAnsi"/>
        </w:rPr>
        <w:t>Le déficit constaté sur les unités de consultation et de soins ambulatoires, qui prennent en charge les détenus de Faa’a-</w:t>
      </w:r>
      <w:proofErr w:type="spellStart"/>
      <w:r w:rsidRPr="003971FE">
        <w:rPr>
          <w:rFonts w:asciiTheme="majorHAnsi" w:hAnsiTheme="majorHAnsi"/>
        </w:rPr>
        <w:t>Nuutania</w:t>
      </w:r>
      <w:proofErr w:type="spellEnd"/>
      <w:r w:rsidRPr="003971FE">
        <w:rPr>
          <w:rFonts w:asciiTheme="majorHAnsi" w:hAnsiTheme="majorHAnsi"/>
        </w:rPr>
        <w:t xml:space="preserve"> et du centre de détention </w:t>
      </w:r>
      <w:proofErr w:type="spellStart"/>
      <w:r w:rsidRPr="003971FE">
        <w:rPr>
          <w:rFonts w:asciiTheme="majorHAnsi" w:hAnsiTheme="majorHAnsi"/>
        </w:rPr>
        <w:t>Tatutu</w:t>
      </w:r>
      <w:proofErr w:type="spellEnd"/>
      <w:r w:rsidRPr="003971FE">
        <w:rPr>
          <w:rFonts w:asciiTheme="majorHAnsi" w:hAnsiTheme="majorHAnsi"/>
        </w:rPr>
        <w:t xml:space="preserve"> de </w:t>
      </w:r>
      <w:proofErr w:type="spellStart"/>
      <w:r w:rsidRPr="003971FE">
        <w:rPr>
          <w:rFonts w:asciiTheme="majorHAnsi" w:hAnsiTheme="majorHAnsi"/>
        </w:rPr>
        <w:t>Papeari</w:t>
      </w:r>
      <w:proofErr w:type="spellEnd"/>
      <w:r w:rsidRPr="003971FE">
        <w:rPr>
          <w:rFonts w:asciiTheme="majorHAnsi" w:hAnsiTheme="majorHAnsi"/>
        </w:rPr>
        <w:t>, résulte pour sa part de la régularisation d’écritures relatives à l’exercice 2017.</w:t>
      </w:r>
    </w:p>
    <w:p w:rsidR="007A6288" w:rsidRDefault="007A6288" w:rsidP="007A6288">
      <w:pPr>
        <w:spacing w:before="120"/>
        <w:jc w:val="both"/>
        <w:rPr>
          <w:rFonts w:asciiTheme="majorHAnsi" w:hAnsiTheme="majorHAnsi"/>
        </w:rPr>
      </w:pPr>
    </w:p>
    <w:p w:rsidR="00EF33F2" w:rsidRPr="00EF33F2" w:rsidRDefault="007A6288" w:rsidP="00EF33F2">
      <w:pPr>
        <w:pStyle w:val="-LettreTexteGEDA"/>
        <w:ind w:firstLine="0"/>
        <w:rPr>
          <w:rFonts w:ascii="Cambria" w:hAnsi="Cambria"/>
          <w:b/>
          <w:noProof w:val="0"/>
        </w:rPr>
      </w:pPr>
      <w:r w:rsidRPr="007A6288">
        <w:rPr>
          <w:rFonts w:ascii="Cambria" w:eastAsia="Arial Unicode MS" w:hAnsi="Cambria" w:cs="Tahoma"/>
          <w:b/>
          <w:noProof w:val="0"/>
          <w:kern w:val="3"/>
          <w:szCs w:val="24"/>
          <w:lang w:eastAsia="en-US"/>
        </w:rPr>
        <w:lastRenderedPageBreak/>
        <w:t>C</w:t>
      </w:r>
      <w:r w:rsidR="00EF33F2" w:rsidRPr="00EF33F2">
        <w:rPr>
          <w:rFonts w:ascii="Cambria" w:hAnsi="Cambria"/>
          <w:b/>
          <w:noProof w:val="0"/>
        </w:rPr>
        <w:t>omptes 2018 du régime de solidarité de la Polynésie française (RSPF)</w:t>
      </w:r>
    </w:p>
    <w:p w:rsidR="00EF33F2" w:rsidRPr="00EF33F2" w:rsidRDefault="00EF33F2" w:rsidP="00EF33F2">
      <w:pPr>
        <w:pStyle w:val="-LettreTexteGEDA"/>
        <w:ind w:firstLine="0"/>
        <w:rPr>
          <w:rFonts w:ascii="Cambria" w:hAnsi="Cambria"/>
          <w:noProof w:val="0"/>
        </w:rPr>
      </w:pPr>
      <w:r w:rsidRPr="00EF33F2">
        <w:rPr>
          <w:rFonts w:ascii="Cambria" w:hAnsi="Cambria"/>
          <w:noProof w:val="0"/>
        </w:rPr>
        <w:t xml:space="preserve">A l’arrêté des comptes au 31 décembre 2018, le régime dégage un résultat net comptable de 707 millions </w:t>
      </w:r>
      <w:proofErr w:type="spellStart"/>
      <w:r>
        <w:rPr>
          <w:rFonts w:ascii="Cambria" w:hAnsi="Cambria"/>
          <w:noProof w:val="0"/>
        </w:rPr>
        <w:t>Fcfp</w:t>
      </w:r>
      <w:proofErr w:type="spellEnd"/>
      <w:r w:rsidRPr="00EF33F2">
        <w:rPr>
          <w:rFonts w:ascii="Cambria" w:hAnsi="Cambria"/>
          <w:noProof w:val="0"/>
        </w:rPr>
        <w:t xml:space="preserve"> issus de la contraction entre les produits et les charges :</w:t>
      </w:r>
    </w:p>
    <w:p w:rsidR="00EF33F2" w:rsidRPr="00EF33F2" w:rsidRDefault="00EF33F2" w:rsidP="00EF33F2">
      <w:pPr>
        <w:pStyle w:val="-LettreTexteGEDA"/>
        <w:numPr>
          <w:ilvl w:val="0"/>
          <w:numId w:val="18"/>
        </w:numPr>
        <w:rPr>
          <w:rFonts w:ascii="Cambria" w:hAnsi="Cambria"/>
          <w:noProof w:val="0"/>
        </w:rPr>
      </w:pPr>
      <w:r w:rsidRPr="00EF33F2">
        <w:rPr>
          <w:rFonts w:ascii="Cambria" w:hAnsi="Cambria"/>
          <w:noProof w:val="0"/>
        </w:rPr>
        <w:t xml:space="preserve">En produits : 27,814 milliards </w:t>
      </w:r>
      <w:proofErr w:type="spellStart"/>
      <w:r>
        <w:rPr>
          <w:rFonts w:ascii="Cambria" w:hAnsi="Cambria"/>
          <w:noProof w:val="0"/>
        </w:rPr>
        <w:t>Fcfp</w:t>
      </w:r>
      <w:proofErr w:type="spellEnd"/>
      <w:r w:rsidRPr="00EF33F2">
        <w:rPr>
          <w:rFonts w:ascii="Cambria" w:hAnsi="Cambria"/>
          <w:noProof w:val="0"/>
        </w:rPr>
        <w:t xml:space="preserve"> dont 27,666 milliards </w:t>
      </w:r>
      <w:proofErr w:type="spellStart"/>
      <w:r>
        <w:rPr>
          <w:rFonts w:ascii="Cambria" w:hAnsi="Cambria"/>
          <w:noProof w:val="0"/>
        </w:rPr>
        <w:t>Fcfp</w:t>
      </w:r>
      <w:proofErr w:type="spellEnd"/>
      <w:r w:rsidRPr="00EF33F2">
        <w:rPr>
          <w:rFonts w:ascii="Cambria" w:hAnsi="Cambria"/>
          <w:noProof w:val="0"/>
        </w:rPr>
        <w:t xml:space="preserve"> de produits techniques (financement via le fonds pour l’emploi et la lutte contre la pauvreté –FELP) ;</w:t>
      </w:r>
    </w:p>
    <w:p w:rsidR="00EF33F2" w:rsidRPr="00EF33F2" w:rsidRDefault="00EF33F2" w:rsidP="00EF33F2">
      <w:pPr>
        <w:pStyle w:val="-LettreTexteGEDA"/>
        <w:numPr>
          <w:ilvl w:val="0"/>
          <w:numId w:val="18"/>
        </w:numPr>
        <w:rPr>
          <w:rFonts w:ascii="Cambria" w:hAnsi="Cambria"/>
          <w:noProof w:val="0"/>
        </w:rPr>
      </w:pPr>
      <w:r w:rsidRPr="00EF33F2">
        <w:rPr>
          <w:rFonts w:ascii="Cambria" w:hAnsi="Cambria"/>
          <w:noProof w:val="0"/>
        </w:rPr>
        <w:t xml:space="preserve">En charges : 27,107 milliards </w:t>
      </w:r>
      <w:proofErr w:type="spellStart"/>
      <w:r>
        <w:rPr>
          <w:rFonts w:ascii="Cambria" w:hAnsi="Cambria"/>
          <w:noProof w:val="0"/>
        </w:rPr>
        <w:t>Fcfp</w:t>
      </w:r>
      <w:proofErr w:type="spellEnd"/>
      <w:r w:rsidRPr="00EF33F2">
        <w:rPr>
          <w:rFonts w:ascii="Cambria" w:hAnsi="Cambria"/>
          <w:noProof w:val="0"/>
        </w:rPr>
        <w:t xml:space="preserve"> dont 25,719 milliards </w:t>
      </w:r>
      <w:proofErr w:type="spellStart"/>
      <w:r>
        <w:rPr>
          <w:rFonts w:ascii="Cambria" w:hAnsi="Cambria"/>
          <w:noProof w:val="0"/>
        </w:rPr>
        <w:t>Fcfp</w:t>
      </w:r>
      <w:proofErr w:type="spellEnd"/>
      <w:r w:rsidRPr="00EF33F2">
        <w:rPr>
          <w:rFonts w:ascii="Cambria" w:hAnsi="Cambria"/>
          <w:noProof w:val="0"/>
        </w:rPr>
        <w:t xml:space="preserve"> de charges techniques.</w:t>
      </w:r>
    </w:p>
    <w:p w:rsidR="00EF33F2" w:rsidRPr="00EF33F2" w:rsidRDefault="00EF33F2" w:rsidP="00EF33F2">
      <w:pPr>
        <w:spacing w:before="240"/>
        <w:jc w:val="both"/>
        <w:rPr>
          <w:rFonts w:ascii="Cambria" w:hAnsi="Cambria"/>
        </w:rPr>
      </w:pPr>
      <w:r w:rsidRPr="00EF33F2">
        <w:rPr>
          <w:rFonts w:ascii="Cambria" w:hAnsi="Cambria"/>
        </w:rPr>
        <w:t xml:space="preserve">Par rapport à l’exercice 2017, les dépenses techniques ont augmenté de la manière suivante : </w:t>
      </w:r>
    </w:p>
    <w:p w:rsidR="00EF33F2" w:rsidRPr="00EF33F2" w:rsidRDefault="00EF33F2" w:rsidP="00EF33F2">
      <w:pPr>
        <w:numPr>
          <w:ilvl w:val="0"/>
          <w:numId w:val="19"/>
        </w:numPr>
        <w:spacing w:before="240" w:after="200" w:line="276" w:lineRule="auto"/>
        <w:jc w:val="both"/>
        <w:rPr>
          <w:rFonts w:ascii="Cambria" w:hAnsi="Cambria"/>
        </w:rPr>
      </w:pPr>
      <w:r w:rsidRPr="00EF33F2">
        <w:rPr>
          <w:rFonts w:ascii="Cambria" w:hAnsi="Cambria"/>
        </w:rPr>
        <w:t>Postes en augmentation :</w:t>
      </w:r>
    </w:p>
    <w:p w:rsidR="00EF33F2" w:rsidRPr="00EF33F2" w:rsidRDefault="00EF33F2" w:rsidP="00EF33F2">
      <w:pPr>
        <w:numPr>
          <w:ilvl w:val="1"/>
          <w:numId w:val="19"/>
        </w:numPr>
        <w:spacing w:before="240" w:after="200" w:line="276" w:lineRule="auto"/>
        <w:jc w:val="both"/>
        <w:rPr>
          <w:rFonts w:ascii="Cambria" w:hAnsi="Cambria"/>
        </w:rPr>
      </w:pPr>
      <w:r w:rsidRPr="00EF33F2">
        <w:rPr>
          <w:rFonts w:ascii="Cambria" w:hAnsi="Cambria"/>
        </w:rPr>
        <w:t xml:space="preserve">Fonds d’action sociale (FAS) : +214 millions </w:t>
      </w:r>
      <w:proofErr w:type="spellStart"/>
      <w:r>
        <w:rPr>
          <w:rFonts w:ascii="Cambria" w:hAnsi="Cambria"/>
        </w:rPr>
        <w:t>Fcfp</w:t>
      </w:r>
      <w:proofErr w:type="spellEnd"/>
      <w:r w:rsidRPr="00EF33F2">
        <w:rPr>
          <w:rFonts w:ascii="Cambria" w:hAnsi="Cambria"/>
        </w:rPr>
        <w:t>, +12,5%, en raison d’une meilleure fluidité dans le traitement des aides sociale ;</w:t>
      </w:r>
    </w:p>
    <w:p w:rsidR="00EF33F2" w:rsidRPr="00EF33F2" w:rsidRDefault="00EF33F2" w:rsidP="00EF33F2">
      <w:pPr>
        <w:numPr>
          <w:ilvl w:val="1"/>
          <w:numId w:val="19"/>
        </w:numPr>
        <w:spacing w:before="240" w:after="200" w:line="276" w:lineRule="auto"/>
        <w:jc w:val="both"/>
        <w:rPr>
          <w:rFonts w:ascii="Cambria" w:hAnsi="Cambria"/>
        </w:rPr>
      </w:pPr>
      <w:r w:rsidRPr="00EF33F2">
        <w:rPr>
          <w:rFonts w:ascii="Cambria" w:hAnsi="Cambria"/>
        </w:rPr>
        <w:t xml:space="preserve">Prestations handicap : +435 millions </w:t>
      </w:r>
      <w:proofErr w:type="spellStart"/>
      <w:r>
        <w:rPr>
          <w:rFonts w:ascii="Cambria" w:hAnsi="Cambria"/>
        </w:rPr>
        <w:t>Fcfp</w:t>
      </w:r>
      <w:proofErr w:type="spellEnd"/>
      <w:r w:rsidRPr="00EF33F2">
        <w:rPr>
          <w:rFonts w:ascii="Cambria" w:hAnsi="Cambria"/>
        </w:rPr>
        <w:t>, +8,9%, en raison du transfert au RSPF des handicapés enfants du RGS et du RNS qui ont atteint l’âge de 20 ans et qui sont pris en charge en totalité par le RSPF, et de la valorisation de la grille de salaires du personnel des établissements socio-éducatifs et médico-éducatifs ;</w:t>
      </w:r>
    </w:p>
    <w:p w:rsidR="00EF33F2" w:rsidRPr="00EF33F2" w:rsidRDefault="00EF33F2" w:rsidP="00EF33F2">
      <w:pPr>
        <w:numPr>
          <w:ilvl w:val="1"/>
          <w:numId w:val="19"/>
        </w:numPr>
        <w:spacing w:before="240" w:after="200" w:line="276" w:lineRule="auto"/>
        <w:jc w:val="both"/>
        <w:rPr>
          <w:rFonts w:ascii="Cambria" w:hAnsi="Cambria"/>
        </w:rPr>
      </w:pPr>
      <w:r w:rsidRPr="00EF33F2">
        <w:rPr>
          <w:rFonts w:ascii="Cambria" w:hAnsi="Cambria"/>
        </w:rPr>
        <w:t xml:space="preserve">Prestations vieillesse : +22 millions </w:t>
      </w:r>
      <w:proofErr w:type="spellStart"/>
      <w:r>
        <w:rPr>
          <w:rFonts w:ascii="Cambria" w:hAnsi="Cambria"/>
        </w:rPr>
        <w:t>Fcfp</w:t>
      </w:r>
      <w:proofErr w:type="spellEnd"/>
      <w:r w:rsidRPr="00EF33F2">
        <w:rPr>
          <w:rFonts w:ascii="Cambria" w:hAnsi="Cambria"/>
        </w:rPr>
        <w:t xml:space="preserve">, +0,5% en raison d’une légère augmentation du nombre de bénéficiaires ; </w:t>
      </w:r>
    </w:p>
    <w:p w:rsidR="00EF33F2" w:rsidRPr="00EF33F2" w:rsidRDefault="00EF33F2" w:rsidP="00EF33F2">
      <w:pPr>
        <w:numPr>
          <w:ilvl w:val="1"/>
          <w:numId w:val="19"/>
        </w:numPr>
        <w:spacing w:before="240" w:after="200" w:line="276" w:lineRule="auto"/>
        <w:jc w:val="both"/>
        <w:rPr>
          <w:rFonts w:ascii="Cambria" w:hAnsi="Cambria"/>
        </w:rPr>
      </w:pPr>
      <w:r w:rsidRPr="00EF33F2">
        <w:rPr>
          <w:rFonts w:ascii="Cambria" w:hAnsi="Cambria"/>
        </w:rPr>
        <w:t xml:space="preserve">Assurance maladie : +429 millions </w:t>
      </w:r>
      <w:proofErr w:type="spellStart"/>
      <w:r>
        <w:rPr>
          <w:rFonts w:ascii="Cambria" w:hAnsi="Cambria"/>
        </w:rPr>
        <w:t>Fcfp</w:t>
      </w:r>
      <w:proofErr w:type="spellEnd"/>
      <w:r w:rsidRPr="00EF33F2">
        <w:rPr>
          <w:rFonts w:ascii="Cambria" w:hAnsi="Cambria"/>
        </w:rPr>
        <w:t>, +3,6%, en raison d’une augmentation de la consommation de prestations et produits de santé (60% des dépenses de santé).</w:t>
      </w:r>
    </w:p>
    <w:p w:rsidR="00EF33F2" w:rsidRPr="00EF33F2" w:rsidRDefault="00EF33F2" w:rsidP="00EF33F2">
      <w:pPr>
        <w:numPr>
          <w:ilvl w:val="0"/>
          <w:numId w:val="19"/>
        </w:numPr>
        <w:spacing w:before="240" w:after="200" w:line="276" w:lineRule="auto"/>
        <w:jc w:val="both"/>
        <w:rPr>
          <w:rFonts w:ascii="Cambria" w:hAnsi="Cambria"/>
        </w:rPr>
      </w:pPr>
      <w:r w:rsidRPr="00EF33F2">
        <w:rPr>
          <w:rFonts w:ascii="Cambria" w:hAnsi="Cambria"/>
        </w:rPr>
        <w:t>Poste en diminution :</w:t>
      </w:r>
    </w:p>
    <w:p w:rsidR="00EF33F2" w:rsidRPr="00EF33F2" w:rsidRDefault="00EF33F2" w:rsidP="00EF33F2">
      <w:pPr>
        <w:numPr>
          <w:ilvl w:val="1"/>
          <w:numId w:val="19"/>
        </w:numPr>
        <w:spacing w:before="240" w:after="200" w:line="276" w:lineRule="auto"/>
        <w:jc w:val="both"/>
        <w:rPr>
          <w:rFonts w:ascii="Cambria" w:hAnsi="Cambria"/>
        </w:rPr>
      </w:pPr>
      <w:r w:rsidRPr="00EF33F2">
        <w:rPr>
          <w:rFonts w:ascii="Cambria" w:hAnsi="Cambria"/>
        </w:rPr>
        <w:t xml:space="preserve">Prestations familiales : -50 millions </w:t>
      </w:r>
      <w:proofErr w:type="spellStart"/>
      <w:r>
        <w:rPr>
          <w:rFonts w:ascii="Cambria" w:hAnsi="Cambria"/>
        </w:rPr>
        <w:t>Fcfp</w:t>
      </w:r>
      <w:proofErr w:type="spellEnd"/>
      <w:r w:rsidRPr="00EF33F2">
        <w:rPr>
          <w:rFonts w:ascii="Cambria" w:hAnsi="Cambria"/>
        </w:rPr>
        <w:t>, -2,4%, en corrélation avec la diminution du nombre moyen de bénéficiaires ;</w:t>
      </w:r>
    </w:p>
    <w:p w:rsidR="00EF33F2" w:rsidRPr="00EF33F2" w:rsidRDefault="00EF33F2" w:rsidP="00EF33F2">
      <w:pPr>
        <w:pStyle w:val="-LettreTexteGEDA"/>
        <w:ind w:firstLine="0"/>
        <w:rPr>
          <w:rFonts w:ascii="Cambria" w:hAnsi="Cambria"/>
          <w:b/>
          <w:noProof w:val="0"/>
        </w:rPr>
      </w:pPr>
    </w:p>
    <w:p w:rsidR="00EF33F2" w:rsidRDefault="00EF33F2" w:rsidP="00EF33F2">
      <w:pPr>
        <w:pStyle w:val="-LettreTexteGEDA"/>
        <w:ind w:firstLine="0"/>
        <w:rPr>
          <w:rFonts w:ascii="Cambria" w:hAnsi="Cambria"/>
          <w:b/>
          <w:noProof w:val="0"/>
        </w:rPr>
      </w:pPr>
      <w:r>
        <w:rPr>
          <w:rFonts w:ascii="Cambria" w:hAnsi="Cambria"/>
          <w:b/>
          <w:noProof w:val="0"/>
        </w:rPr>
        <w:t>D</w:t>
      </w:r>
      <w:r w:rsidRPr="00EF33F2">
        <w:rPr>
          <w:rFonts w:ascii="Cambria" w:hAnsi="Cambria"/>
          <w:b/>
          <w:noProof w:val="0"/>
        </w:rPr>
        <w:t>écision modificative n°1 du budget de l’exercice 2019 du RSPF </w:t>
      </w:r>
    </w:p>
    <w:p w:rsidR="00EF33F2" w:rsidRPr="00EF33F2" w:rsidRDefault="00EF33F2" w:rsidP="00EF33F2">
      <w:pPr>
        <w:pStyle w:val="-LettreTexteGEDA"/>
        <w:ind w:firstLine="0"/>
        <w:rPr>
          <w:rFonts w:ascii="Cambria" w:hAnsi="Cambria"/>
          <w:b/>
          <w:noProof w:val="0"/>
        </w:rPr>
      </w:pPr>
    </w:p>
    <w:p w:rsidR="00EF33F2" w:rsidRPr="00EF33F2" w:rsidRDefault="00EF33F2" w:rsidP="00EF33F2">
      <w:pPr>
        <w:pStyle w:val="-LettreTexteGEDA"/>
        <w:ind w:firstLine="0"/>
        <w:rPr>
          <w:rFonts w:ascii="Cambria" w:hAnsi="Cambria"/>
          <w:noProof w:val="0"/>
        </w:rPr>
      </w:pPr>
      <w:r w:rsidRPr="00EF33F2">
        <w:rPr>
          <w:rFonts w:ascii="Cambria" w:hAnsi="Cambria"/>
          <w:noProof w:val="0"/>
        </w:rPr>
        <w:t xml:space="preserve">Le budget primitif 2019 du RSPF a été arrêté à la somme de 28,548 milliards </w:t>
      </w:r>
      <w:proofErr w:type="spellStart"/>
      <w:r>
        <w:rPr>
          <w:rFonts w:ascii="Cambria" w:hAnsi="Cambria"/>
          <w:noProof w:val="0"/>
        </w:rPr>
        <w:t>Fcfp</w:t>
      </w:r>
      <w:proofErr w:type="spellEnd"/>
      <w:r>
        <w:rPr>
          <w:rFonts w:ascii="Cambria" w:hAnsi="Cambria"/>
          <w:noProof w:val="0"/>
        </w:rPr>
        <w:t xml:space="preserve">. </w:t>
      </w:r>
      <w:r w:rsidRPr="00EF33F2">
        <w:rPr>
          <w:rFonts w:ascii="Cambria" w:hAnsi="Cambria"/>
          <w:noProof w:val="0"/>
        </w:rPr>
        <w:t xml:space="preserve">Pour permettre l’attribution de subventions à diverses associations par le fonds d’action sociale (FAS), le Pays a adopté, au mois d’avril 2019, un complément de crédits à hauteur de 45 millions </w:t>
      </w:r>
      <w:proofErr w:type="spellStart"/>
      <w:r>
        <w:rPr>
          <w:rFonts w:ascii="Cambria" w:hAnsi="Cambria"/>
          <w:noProof w:val="0"/>
        </w:rPr>
        <w:t>Fcfp</w:t>
      </w:r>
      <w:proofErr w:type="spellEnd"/>
      <w:r w:rsidRPr="00EF33F2">
        <w:rPr>
          <w:rFonts w:ascii="Cambria" w:hAnsi="Cambria"/>
          <w:noProof w:val="0"/>
        </w:rPr>
        <w:t xml:space="preserve"> en faveur du fonds pour l’emploi et la lutte contre la pauv</w:t>
      </w:r>
      <w:r>
        <w:rPr>
          <w:rFonts w:ascii="Cambria" w:hAnsi="Cambria"/>
          <w:noProof w:val="0"/>
        </w:rPr>
        <w:t xml:space="preserve">reté (FELP) - volet solidarité. </w:t>
      </w:r>
      <w:r w:rsidRPr="00EF33F2">
        <w:rPr>
          <w:rFonts w:ascii="Cambria" w:hAnsi="Cambria"/>
          <w:noProof w:val="0"/>
        </w:rPr>
        <w:t xml:space="preserve">Le budget 2019 du RSPF intègre en recettes et en dépenses cet abondement, et s’établit, par conséquent, à la somme de 28,593 milliards </w:t>
      </w:r>
      <w:proofErr w:type="spellStart"/>
      <w:r>
        <w:rPr>
          <w:rFonts w:ascii="Cambria" w:hAnsi="Cambria"/>
          <w:noProof w:val="0"/>
        </w:rPr>
        <w:t>Fcfp</w:t>
      </w:r>
      <w:proofErr w:type="spellEnd"/>
      <w:r w:rsidRPr="00EF33F2">
        <w:rPr>
          <w:rFonts w:ascii="Cambria" w:hAnsi="Cambria"/>
          <w:noProof w:val="0"/>
        </w:rPr>
        <w:t>.</w:t>
      </w:r>
    </w:p>
    <w:p w:rsidR="00EF33F2" w:rsidRPr="00EF33F2" w:rsidRDefault="00EF33F2" w:rsidP="00EF33F2">
      <w:pPr>
        <w:spacing w:before="240"/>
        <w:jc w:val="both"/>
        <w:rPr>
          <w:rFonts w:ascii="Cambria" w:hAnsi="Cambria"/>
        </w:rPr>
      </w:pPr>
    </w:p>
    <w:p w:rsidR="00EF33F2" w:rsidRDefault="00EF33F2" w:rsidP="00EF33F2">
      <w:pPr>
        <w:pStyle w:val="-LettreTexteGEDA"/>
        <w:ind w:firstLine="0"/>
        <w:rPr>
          <w:rFonts w:ascii="Cambria" w:hAnsi="Cambria"/>
          <w:b/>
          <w:noProof w:val="0"/>
        </w:rPr>
      </w:pPr>
      <w:r>
        <w:rPr>
          <w:rFonts w:ascii="Cambria" w:hAnsi="Cambria"/>
          <w:b/>
          <w:noProof w:val="0"/>
        </w:rPr>
        <w:t>M</w:t>
      </w:r>
      <w:r w:rsidRPr="00EF33F2">
        <w:rPr>
          <w:rFonts w:ascii="Cambria" w:hAnsi="Cambria"/>
          <w:b/>
          <w:noProof w:val="0"/>
        </w:rPr>
        <w:t>odification du budget du FAS/RSPF pour l’exercice 2019</w:t>
      </w:r>
    </w:p>
    <w:p w:rsidR="00EF33F2" w:rsidRPr="00EF33F2" w:rsidRDefault="00EF33F2" w:rsidP="00EF33F2">
      <w:pPr>
        <w:pStyle w:val="-LettreTexteGEDA"/>
        <w:ind w:firstLine="0"/>
        <w:rPr>
          <w:rFonts w:ascii="Cambria" w:hAnsi="Cambria"/>
          <w:b/>
          <w:noProof w:val="0"/>
        </w:rPr>
      </w:pPr>
    </w:p>
    <w:p w:rsidR="00EF33F2" w:rsidRPr="00EF33F2" w:rsidRDefault="00EF33F2" w:rsidP="00EF33F2">
      <w:pPr>
        <w:pStyle w:val="-LettreTexteGEDA"/>
        <w:ind w:firstLine="0"/>
        <w:rPr>
          <w:rFonts w:ascii="Cambria" w:hAnsi="Cambria"/>
          <w:noProof w:val="0"/>
        </w:rPr>
      </w:pPr>
      <w:r w:rsidRPr="00EF33F2">
        <w:rPr>
          <w:rFonts w:ascii="Cambria" w:hAnsi="Cambria"/>
          <w:noProof w:val="0"/>
        </w:rPr>
        <w:t xml:space="preserve">Le budget primitif 2019 du Fonds d’action sociale (FAS) a été arrêté à la somme de 2,047 milliards </w:t>
      </w:r>
      <w:proofErr w:type="spellStart"/>
      <w:r>
        <w:rPr>
          <w:rFonts w:ascii="Cambria" w:hAnsi="Cambria"/>
          <w:noProof w:val="0"/>
        </w:rPr>
        <w:t>Fcfp</w:t>
      </w:r>
      <w:proofErr w:type="spellEnd"/>
      <w:r>
        <w:rPr>
          <w:rFonts w:ascii="Cambria" w:hAnsi="Cambria"/>
          <w:noProof w:val="0"/>
        </w:rPr>
        <w:t xml:space="preserve">. </w:t>
      </w:r>
      <w:r w:rsidRPr="00EF33F2">
        <w:rPr>
          <w:rFonts w:ascii="Cambria" w:hAnsi="Cambria"/>
          <w:noProof w:val="0"/>
        </w:rPr>
        <w:t xml:space="preserve">Le budget a été abondé de 45 millions </w:t>
      </w:r>
      <w:proofErr w:type="spellStart"/>
      <w:r>
        <w:rPr>
          <w:rFonts w:ascii="Cambria" w:hAnsi="Cambria"/>
          <w:noProof w:val="0"/>
        </w:rPr>
        <w:t>Fcfp</w:t>
      </w:r>
      <w:proofErr w:type="spellEnd"/>
      <w:r w:rsidRPr="00EF33F2">
        <w:rPr>
          <w:rFonts w:ascii="Cambria" w:hAnsi="Cambria"/>
          <w:noProof w:val="0"/>
        </w:rPr>
        <w:t>, entièrement assuré par la modification budgétaire du FELP du mois d’avril dernier, pour le financement des nouvelles demandes de subventions éligibles</w:t>
      </w:r>
      <w:r>
        <w:rPr>
          <w:rFonts w:ascii="Cambria" w:hAnsi="Cambria"/>
          <w:noProof w:val="0"/>
        </w:rPr>
        <w:t xml:space="preserve"> au programme d’action sociale. </w:t>
      </w:r>
      <w:r w:rsidRPr="00EF33F2">
        <w:rPr>
          <w:rFonts w:ascii="Cambria" w:hAnsi="Cambria"/>
          <w:noProof w:val="0"/>
        </w:rPr>
        <w:t>Après modification, le budget du FAS s’élève ainsi à la somme de 2,092 milliards</w:t>
      </w:r>
      <w:r>
        <w:rPr>
          <w:rFonts w:ascii="Cambria" w:hAnsi="Cambria"/>
          <w:noProof w:val="0"/>
        </w:rPr>
        <w:t xml:space="preserve"> </w:t>
      </w:r>
      <w:proofErr w:type="spellStart"/>
      <w:r>
        <w:rPr>
          <w:rFonts w:ascii="Cambria" w:hAnsi="Cambria"/>
          <w:noProof w:val="0"/>
        </w:rPr>
        <w:t>Fcfp</w:t>
      </w:r>
      <w:proofErr w:type="spellEnd"/>
      <w:r w:rsidRPr="00EF33F2">
        <w:rPr>
          <w:rFonts w:ascii="Cambria" w:hAnsi="Cambria"/>
          <w:noProof w:val="0"/>
        </w:rPr>
        <w:t>.</w:t>
      </w:r>
    </w:p>
    <w:p w:rsidR="00EF33F2" w:rsidRPr="00EF33F2" w:rsidRDefault="00EF33F2" w:rsidP="00C34DFF">
      <w:pPr>
        <w:pStyle w:val="Standard"/>
        <w:spacing w:before="120" w:after="0" w:line="240" w:lineRule="auto"/>
        <w:jc w:val="both"/>
        <w:rPr>
          <w:rFonts w:ascii="Cambria" w:hAnsi="Cambria"/>
          <w:sz w:val="24"/>
          <w:szCs w:val="24"/>
        </w:rPr>
      </w:pPr>
    </w:p>
    <w:p w:rsidR="00EF33F2" w:rsidRPr="00EF33F2" w:rsidRDefault="007A6288" w:rsidP="00EF33F2">
      <w:pPr>
        <w:pStyle w:val="-LettreTexteGEDA"/>
        <w:ind w:firstLine="0"/>
        <w:rPr>
          <w:rFonts w:ascii="Cambria" w:hAnsi="Cambria"/>
          <w:b/>
          <w:noProof w:val="0"/>
        </w:rPr>
      </w:pPr>
      <w:r>
        <w:rPr>
          <w:rFonts w:ascii="Cambria" w:hAnsi="Cambria"/>
          <w:b/>
          <w:noProof w:val="0"/>
        </w:rPr>
        <w:t>Comptes 2018 du R</w:t>
      </w:r>
      <w:r w:rsidR="004C0B54">
        <w:rPr>
          <w:rFonts w:ascii="Cambria" w:hAnsi="Cambria"/>
          <w:b/>
          <w:noProof w:val="0"/>
        </w:rPr>
        <w:t>égime des non-</w:t>
      </w:r>
      <w:r>
        <w:rPr>
          <w:rFonts w:ascii="Cambria" w:hAnsi="Cambria"/>
          <w:b/>
          <w:noProof w:val="0"/>
        </w:rPr>
        <w:t>salariés</w:t>
      </w:r>
      <w:r w:rsidR="00EF33F2" w:rsidRPr="00EF33F2">
        <w:rPr>
          <w:rFonts w:ascii="Cambria" w:hAnsi="Cambria"/>
          <w:b/>
          <w:noProof w:val="0"/>
        </w:rPr>
        <w:t xml:space="preserve">, et mise en place de l’aide « Aidant </w:t>
      </w:r>
      <w:proofErr w:type="spellStart"/>
      <w:r w:rsidR="00EF33F2" w:rsidRPr="00EF33F2">
        <w:rPr>
          <w:rFonts w:ascii="Cambria" w:hAnsi="Cambria"/>
          <w:b/>
          <w:noProof w:val="0"/>
        </w:rPr>
        <w:t>Fetii</w:t>
      </w:r>
      <w:proofErr w:type="spellEnd"/>
      <w:r w:rsidR="00EF33F2" w:rsidRPr="00EF33F2">
        <w:rPr>
          <w:rFonts w:ascii="Cambria" w:hAnsi="Cambria"/>
          <w:b/>
          <w:noProof w:val="0"/>
        </w:rPr>
        <w:t> » en faveur des personnes âgées et/ou handicapées</w:t>
      </w:r>
    </w:p>
    <w:p w:rsidR="004C0B54" w:rsidRDefault="004C0B54" w:rsidP="00EF33F2">
      <w:pPr>
        <w:pStyle w:val="-LettreTexteGEDA"/>
        <w:ind w:firstLine="0"/>
        <w:rPr>
          <w:rFonts w:ascii="Cambria" w:hAnsi="Cambria"/>
          <w:b/>
          <w:noProof w:val="0"/>
        </w:rPr>
      </w:pPr>
    </w:p>
    <w:p w:rsidR="00EF33F2" w:rsidRPr="00EF33F2" w:rsidRDefault="00EF33F2" w:rsidP="00EF33F2">
      <w:pPr>
        <w:pStyle w:val="-LettreTexteGEDA"/>
        <w:ind w:firstLine="0"/>
        <w:rPr>
          <w:rFonts w:ascii="Cambria" w:hAnsi="Cambria"/>
          <w:noProof w:val="0"/>
        </w:rPr>
      </w:pPr>
      <w:r w:rsidRPr="00EF33F2">
        <w:rPr>
          <w:rFonts w:ascii="Cambria" w:hAnsi="Cambria"/>
          <w:noProof w:val="0"/>
        </w:rPr>
        <w:t>Le conseil d’a</w:t>
      </w:r>
      <w:r w:rsidR="004C0B54">
        <w:rPr>
          <w:rFonts w:ascii="Cambria" w:hAnsi="Cambria"/>
          <w:noProof w:val="0"/>
        </w:rPr>
        <w:t>dministration du Régime des non-</w:t>
      </w:r>
      <w:r w:rsidRPr="00EF33F2">
        <w:rPr>
          <w:rFonts w:ascii="Cambria" w:hAnsi="Cambria"/>
          <w:noProof w:val="0"/>
        </w:rPr>
        <w:t xml:space="preserve">salariés </w:t>
      </w:r>
      <w:r w:rsidR="007A6288">
        <w:rPr>
          <w:rFonts w:ascii="Cambria" w:hAnsi="Cambria"/>
          <w:noProof w:val="0"/>
        </w:rPr>
        <w:t xml:space="preserve">(RNS) </w:t>
      </w:r>
      <w:r w:rsidRPr="00EF33F2">
        <w:rPr>
          <w:rFonts w:ascii="Cambria" w:hAnsi="Cambria"/>
          <w:noProof w:val="0"/>
        </w:rPr>
        <w:t xml:space="preserve">s’est réuni le 27 juin </w:t>
      </w:r>
      <w:r w:rsidR="004C0B54">
        <w:rPr>
          <w:rFonts w:ascii="Cambria" w:hAnsi="Cambria"/>
          <w:noProof w:val="0"/>
        </w:rPr>
        <w:t>dernier</w:t>
      </w:r>
      <w:r w:rsidRPr="00EF33F2">
        <w:rPr>
          <w:rFonts w:ascii="Cambria" w:hAnsi="Cambria"/>
          <w:noProof w:val="0"/>
        </w:rPr>
        <w:t xml:space="preserve"> pour procéder à l’examen des comptes financiers du régime pour l’exercice 2018 et donner quitus à l’agent-comptable de la C.P.S. pour sa gestion sur cette période.</w:t>
      </w:r>
      <w:r w:rsidR="004C0B54">
        <w:rPr>
          <w:rFonts w:ascii="Cambria" w:hAnsi="Cambria"/>
          <w:noProof w:val="0"/>
        </w:rPr>
        <w:t xml:space="preserve"> </w:t>
      </w:r>
      <w:r w:rsidRPr="00EF33F2">
        <w:rPr>
          <w:rFonts w:ascii="Cambria" w:hAnsi="Cambria"/>
          <w:noProof w:val="0"/>
        </w:rPr>
        <w:t xml:space="preserve">Le résultat net comptable en fin d’exercice 2018 se solde par un excédent de 106 millions </w:t>
      </w:r>
      <w:proofErr w:type="spellStart"/>
      <w:r w:rsidR="004C0B54">
        <w:rPr>
          <w:rFonts w:ascii="Cambria" w:hAnsi="Cambria"/>
          <w:noProof w:val="0"/>
        </w:rPr>
        <w:t>Fcfp</w:t>
      </w:r>
      <w:proofErr w:type="spellEnd"/>
      <w:r w:rsidRPr="00EF33F2">
        <w:rPr>
          <w:rFonts w:ascii="Cambria" w:hAnsi="Cambria"/>
          <w:noProof w:val="0"/>
        </w:rPr>
        <w:t xml:space="preserve">, qui absorbe en partie le déficit cumulé de 183 millions </w:t>
      </w:r>
      <w:proofErr w:type="spellStart"/>
      <w:r w:rsidR="004C0B54">
        <w:rPr>
          <w:rFonts w:ascii="Cambria" w:hAnsi="Cambria"/>
          <w:noProof w:val="0"/>
        </w:rPr>
        <w:t>Fcfp</w:t>
      </w:r>
      <w:proofErr w:type="spellEnd"/>
      <w:r w:rsidRPr="00EF33F2">
        <w:rPr>
          <w:rFonts w:ascii="Cambria" w:hAnsi="Cambria"/>
          <w:noProof w:val="0"/>
        </w:rPr>
        <w:t xml:space="preserve"> constatés au 31 décembre 2017. </w:t>
      </w:r>
    </w:p>
    <w:p w:rsidR="00EF33F2" w:rsidRPr="00EF33F2" w:rsidRDefault="00EF33F2" w:rsidP="00EF33F2">
      <w:pPr>
        <w:pStyle w:val="-LettreTexteGEDA"/>
        <w:ind w:firstLine="0"/>
        <w:rPr>
          <w:rFonts w:ascii="Cambria" w:hAnsi="Cambria"/>
          <w:noProof w:val="0"/>
        </w:rPr>
      </w:pPr>
      <w:r w:rsidRPr="00EF33F2">
        <w:rPr>
          <w:rFonts w:ascii="Cambria" w:hAnsi="Cambria"/>
          <w:noProof w:val="0"/>
        </w:rPr>
        <w:t xml:space="preserve">Les produits techniques du RNS se montent à 3, 817 milliards </w:t>
      </w:r>
      <w:proofErr w:type="spellStart"/>
      <w:r w:rsidR="004C0B54">
        <w:rPr>
          <w:rFonts w:ascii="Cambria" w:hAnsi="Cambria"/>
          <w:noProof w:val="0"/>
        </w:rPr>
        <w:t>Fcfp</w:t>
      </w:r>
      <w:proofErr w:type="spellEnd"/>
      <w:r w:rsidRPr="00EF33F2">
        <w:rPr>
          <w:rFonts w:ascii="Cambria" w:hAnsi="Cambria"/>
          <w:noProof w:val="0"/>
        </w:rPr>
        <w:t xml:space="preserve"> (+4% par rapport à 2017)</w:t>
      </w:r>
      <w:r w:rsidR="004C0B54">
        <w:rPr>
          <w:rFonts w:ascii="Cambria" w:hAnsi="Cambria"/>
          <w:noProof w:val="0"/>
        </w:rPr>
        <w:t xml:space="preserve">. </w:t>
      </w:r>
      <w:r w:rsidRPr="00EF33F2">
        <w:rPr>
          <w:rFonts w:ascii="Cambria" w:hAnsi="Cambria"/>
          <w:noProof w:val="0"/>
        </w:rPr>
        <w:t xml:space="preserve">Ils sont composés essentiellement de cotisations des ressortissants (3,417 milliards </w:t>
      </w:r>
      <w:proofErr w:type="spellStart"/>
      <w:r w:rsidR="004C0B54">
        <w:rPr>
          <w:rFonts w:ascii="Cambria" w:hAnsi="Cambria"/>
          <w:noProof w:val="0"/>
        </w:rPr>
        <w:t>Fcfp</w:t>
      </w:r>
      <w:proofErr w:type="spellEnd"/>
      <w:r w:rsidRPr="00EF33F2">
        <w:rPr>
          <w:rFonts w:ascii="Cambria" w:hAnsi="Cambria"/>
          <w:noProof w:val="0"/>
        </w:rPr>
        <w:t xml:space="preserve">) et d’une participation du Pays (400 millions </w:t>
      </w:r>
      <w:proofErr w:type="spellStart"/>
      <w:r w:rsidR="004C0B54">
        <w:rPr>
          <w:rFonts w:ascii="Cambria" w:hAnsi="Cambria"/>
          <w:noProof w:val="0"/>
        </w:rPr>
        <w:t>Fcfp</w:t>
      </w:r>
      <w:proofErr w:type="spellEnd"/>
      <w:r w:rsidRPr="00EF33F2">
        <w:rPr>
          <w:rFonts w:ascii="Cambria" w:hAnsi="Cambria"/>
          <w:noProof w:val="0"/>
        </w:rPr>
        <w:t>).</w:t>
      </w:r>
      <w:r w:rsidR="004C0B54">
        <w:rPr>
          <w:rFonts w:ascii="Cambria" w:hAnsi="Cambria"/>
          <w:noProof w:val="0"/>
        </w:rPr>
        <w:t xml:space="preserve"> </w:t>
      </w:r>
      <w:r w:rsidRPr="00EF33F2">
        <w:rPr>
          <w:rFonts w:ascii="Cambria" w:hAnsi="Cambria"/>
          <w:noProof w:val="0"/>
        </w:rPr>
        <w:t xml:space="preserve">Les charges techniques s’élèvent à 3, 448 milliards </w:t>
      </w:r>
      <w:proofErr w:type="spellStart"/>
      <w:r w:rsidR="004C0B54">
        <w:rPr>
          <w:rFonts w:ascii="Cambria" w:hAnsi="Cambria"/>
          <w:noProof w:val="0"/>
        </w:rPr>
        <w:t>Fcfp</w:t>
      </w:r>
      <w:proofErr w:type="spellEnd"/>
      <w:r w:rsidRPr="00EF33F2">
        <w:rPr>
          <w:rFonts w:ascii="Cambria" w:hAnsi="Cambria"/>
          <w:noProof w:val="0"/>
        </w:rPr>
        <w:t xml:space="preserve"> (+5% par rapport à 2017). Les prestations servies en 2018 sont relatives aux prestations familiales (285 millions </w:t>
      </w:r>
      <w:proofErr w:type="spellStart"/>
      <w:r w:rsidR="004C0B54">
        <w:rPr>
          <w:rFonts w:ascii="Cambria" w:hAnsi="Cambria"/>
          <w:noProof w:val="0"/>
        </w:rPr>
        <w:t>Fcfp</w:t>
      </w:r>
      <w:proofErr w:type="spellEnd"/>
      <w:r w:rsidRPr="00EF33F2">
        <w:rPr>
          <w:rFonts w:ascii="Cambria" w:hAnsi="Cambria"/>
          <w:noProof w:val="0"/>
        </w:rPr>
        <w:t xml:space="preserve">, -8%), au fonds d’action sociale (112 millions </w:t>
      </w:r>
      <w:proofErr w:type="spellStart"/>
      <w:r w:rsidR="004C0B54">
        <w:rPr>
          <w:rFonts w:ascii="Cambria" w:hAnsi="Cambria"/>
          <w:noProof w:val="0"/>
        </w:rPr>
        <w:t>Fcfp</w:t>
      </w:r>
      <w:proofErr w:type="spellEnd"/>
      <w:r w:rsidRPr="00EF33F2">
        <w:rPr>
          <w:rFonts w:ascii="Cambria" w:hAnsi="Cambria"/>
          <w:noProof w:val="0"/>
        </w:rPr>
        <w:t xml:space="preserve">, +90%) et à l’assurance maladie (3,051 milliards </w:t>
      </w:r>
      <w:proofErr w:type="spellStart"/>
      <w:r w:rsidR="004C0B54">
        <w:rPr>
          <w:rFonts w:ascii="Cambria" w:hAnsi="Cambria"/>
          <w:noProof w:val="0"/>
        </w:rPr>
        <w:t>Fcfp</w:t>
      </w:r>
      <w:proofErr w:type="spellEnd"/>
      <w:r w:rsidRPr="00EF33F2">
        <w:rPr>
          <w:rFonts w:ascii="Cambria" w:hAnsi="Cambria"/>
          <w:noProof w:val="0"/>
        </w:rPr>
        <w:t>, + 4%).</w:t>
      </w:r>
      <w:r w:rsidR="004C0B54">
        <w:rPr>
          <w:rFonts w:ascii="Cambria" w:hAnsi="Cambria"/>
          <w:noProof w:val="0"/>
        </w:rPr>
        <w:t xml:space="preserve"> </w:t>
      </w:r>
      <w:r w:rsidRPr="00EF33F2">
        <w:rPr>
          <w:rFonts w:ascii="Cambria" w:hAnsi="Cambria"/>
          <w:noProof w:val="0"/>
        </w:rPr>
        <w:t xml:space="preserve">Enfin, au titre de la prestation de gestion effectuée par la CPS, il est facturé au régime 339 millions </w:t>
      </w:r>
      <w:proofErr w:type="spellStart"/>
      <w:r w:rsidR="004C0B54">
        <w:rPr>
          <w:rFonts w:ascii="Cambria" w:hAnsi="Cambria"/>
          <w:noProof w:val="0"/>
        </w:rPr>
        <w:t>Fcfp</w:t>
      </w:r>
      <w:proofErr w:type="spellEnd"/>
      <w:r w:rsidRPr="00EF33F2">
        <w:rPr>
          <w:rFonts w:ascii="Cambria" w:hAnsi="Cambria"/>
          <w:noProof w:val="0"/>
        </w:rPr>
        <w:t>.</w:t>
      </w:r>
    </w:p>
    <w:p w:rsidR="00EF33F2" w:rsidRPr="004C0B54" w:rsidRDefault="00EF33F2" w:rsidP="00EF33F2">
      <w:pPr>
        <w:pStyle w:val="-LettreTexteGEDA"/>
        <w:ind w:firstLine="0"/>
        <w:rPr>
          <w:rFonts w:ascii="Cambria" w:hAnsi="Cambria"/>
          <w:i/>
          <w:noProof w:val="0"/>
          <w:u w:val="single"/>
        </w:rPr>
      </w:pPr>
      <w:r w:rsidRPr="004C0B54">
        <w:rPr>
          <w:rFonts w:ascii="Cambria" w:hAnsi="Cambria"/>
          <w:i/>
          <w:noProof w:val="0"/>
          <w:u w:val="single"/>
        </w:rPr>
        <w:t xml:space="preserve">Adoption du dispositif d’aide « Aidant </w:t>
      </w:r>
      <w:proofErr w:type="spellStart"/>
      <w:r w:rsidRPr="004C0B54">
        <w:rPr>
          <w:rFonts w:ascii="Cambria" w:hAnsi="Cambria"/>
          <w:i/>
          <w:noProof w:val="0"/>
          <w:u w:val="single"/>
        </w:rPr>
        <w:t>Fetii</w:t>
      </w:r>
      <w:proofErr w:type="spellEnd"/>
      <w:r w:rsidRPr="004C0B54">
        <w:rPr>
          <w:rFonts w:ascii="Cambria" w:hAnsi="Cambria"/>
          <w:i/>
          <w:noProof w:val="0"/>
          <w:u w:val="single"/>
        </w:rPr>
        <w:t> » en faveur des personnes âgées et/ou handicapées</w:t>
      </w:r>
    </w:p>
    <w:p w:rsidR="00EF33F2" w:rsidRPr="00EF33F2" w:rsidRDefault="00EF33F2" w:rsidP="00EF33F2">
      <w:pPr>
        <w:pStyle w:val="-LettreTexteGEDA"/>
        <w:ind w:firstLine="0"/>
        <w:rPr>
          <w:rFonts w:ascii="Cambria" w:hAnsi="Cambria"/>
          <w:noProof w:val="0"/>
        </w:rPr>
      </w:pPr>
    </w:p>
    <w:p w:rsidR="00EF33F2" w:rsidRPr="00EF33F2" w:rsidRDefault="00EF33F2" w:rsidP="00EF33F2">
      <w:pPr>
        <w:pStyle w:val="-LettreTexteGEDA"/>
        <w:spacing w:before="0"/>
        <w:ind w:firstLine="0"/>
        <w:rPr>
          <w:rFonts w:ascii="Cambria" w:hAnsi="Cambria"/>
          <w:noProof w:val="0"/>
        </w:rPr>
      </w:pPr>
      <w:r w:rsidRPr="00EF33F2">
        <w:rPr>
          <w:rFonts w:ascii="Cambria" w:hAnsi="Cambria"/>
          <w:noProof w:val="0"/>
        </w:rPr>
        <w:t xml:space="preserve">Le dispositif d’ « Aidant </w:t>
      </w:r>
      <w:proofErr w:type="spellStart"/>
      <w:r w:rsidRPr="00EF33F2">
        <w:rPr>
          <w:rFonts w:ascii="Cambria" w:hAnsi="Cambria"/>
          <w:noProof w:val="0"/>
        </w:rPr>
        <w:t>Fetii</w:t>
      </w:r>
      <w:proofErr w:type="spellEnd"/>
      <w:r w:rsidRPr="00EF33F2">
        <w:rPr>
          <w:rFonts w:ascii="Cambria" w:hAnsi="Cambria"/>
          <w:noProof w:val="0"/>
        </w:rPr>
        <w:t> » consiste à solliciter un membre de la famille et/ou proche afin d’assurer les tâches de la vie quotidienne que le bénéficiaire ne peut plus assumer seul. Les personnes âgées et/ou handicapées relevan</w:t>
      </w:r>
      <w:r w:rsidR="004C0B54">
        <w:rPr>
          <w:rFonts w:ascii="Cambria" w:hAnsi="Cambria"/>
          <w:noProof w:val="0"/>
        </w:rPr>
        <w:t>t du Régime des non-</w:t>
      </w:r>
      <w:r w:rsidRPr="00EF33F2">
        <w:rPr>
          <w:rFonts w:ascii="Cambria" w:hAnsi="Cambria"/>
          <w:noProof w:val="0"/>
        </w:rPr>
        <w:t>salariés ont ainsi la possibilité d’être assistées par la personne de leur choix issue de leur environnement familial.</w:t>
      </w:r>
    </w:p>
    <w:p w:rsidR="00EF33F2" w:rsidRPr="00EF33F2" w:rsidRDefault="00EF33F2" w:rsidP="00EF33F2">
      <w:pPr>
        <w:pStyle w:val="-LettreTexteGEDA"/>
        <w:spacing w:before="0"/>
        <w:rPr>
          <w:rFonts w:ascii="Cambria" w:hAnsi="Cambria"/>
          <w:noProof w:val="0"/>
        </w:rPr>
      </w:pPr>
    </w:p>
    <w:p w:rsidR="00EF33F2" w:rsidRPr="00EF33F2" w:rsidRDefault="00EF33F2" w:rsidP="00EF33F2">
      <w:pPr>
        <w:pStyle w:val="-LettreTexteGEDA"/>
        <w:spacing w:before="0"/>
        <w:ind w:firstLine="0"/>
        <w:rPr>
          <w:rFonts w:ascii="Cambria" w:hAnsi="Cambria"/>
          <w:noProof w:val="0"/>
        </w:rPr>
      </w:pPr>
      <w:r w:rsidRPr="00EF33F2">
        <w:rPr>
          <w:rFonts w:ascii="Cambria" w:hAnsi="Cambria"/>
          <w:noProof w:val="0"/>
        </w:rPr>
        <w:t xml:space="preserve">La demande d’aide est adressée à la Direction des solidarités, de la famille et de l’égalité qui vérifie l’éligibilité de l’aide et en assure l’octroi. Le montant de l’aide est fixé à 50 000 </w:t>
      </w:r>
      <w:proofErr w:type="spellStart"/>
      <w:r w:rsidR="004C0B54">
        <w:rPr>
          <w:rFonts w:ascii="Cambria" w:hAnsi="Cambria"/>
          <w:noProof w:val="0"/>
        </w:rPr>
        <w:t>Fcfp</w:t>
      </w:r>
      <w:proofErr w:type="spellEnd"/>
      <w:r w:rsidRPr="00EF33F2">
        <w:rPr>
          <w:rFonts w:ascii="Cambria" w:hAnsi="Cambria"/>
          <w:noProof w:val="0"/>
        </w:rPr>
        <w:t xml:space="preserve"> par mois.</w:t>
      </w:r>
      <w:r w:rsidR="004C0B54">
        <w:rPr>
          <w:rFonts w:ascii="Cambria" w:hAnsi="Cambria"/>
          <w:noProof w:val="0"/>
        </w:rPr>
        <w:t xml:space="preserve"> </w:t>
      </w:r>
      <w:r w:rsidRPr="00EF33F2">
        <w:rPr>
          <w:rFonts w:ascii="Cambria" w:hAnsi="Cambria"/>
          <w:noProof w:val="0"/>
        </w:rPr>
        <w:t xml:space="preserve">Le dispositif d’ « Aidant </w:t>
      </w:r>
      <w:proofErr w:type="spellStart"/>
      <w:r w:rsidRPr="00EF33F2">
        <w:rPr>
          <w:rFonts w:ascii="Cambria" w:hAnsi="Cambria"/>
          <w:noProof w:val="0"/>
        </w:rPr>
        <w:t>Fetii</w:t>
      </w:r>
      <w:proofErr w:type="spellEnd"/>
      <w:r w:rsidRPr="00EF33F2">
        <w:rPr>
          <w:rFonts w:ascii="Cambria" w:hAnsi="Cambria"/>
          <w:noProof w:val="0"/>
        </w:rPr>
        <w:t xml:space="preserve"> » vient remplacer celui de l’« Aidant Familial » qui avait été adopté par délibération </w:t>
      </w:r>
      <w:r w:rsidR="004C0B54">
        <w:rPr>
          <w:rFonts w:ascii="Cambria" w:hAnsi="Cambria"/>
          <w:noProof w:val="0"/>
        </w:rPr>
        <w:t xml:space="preserve">du Conseil d’administration du régime des non-salariés </w:t>
      </w:r>
      <w:r w:rsidRPr="00EF33F2">
        <w:rPr>
          <w:rFonts w:ascii="Cambria" w:hAnsi="Cambria"/>
          <w:noProof w:val="0"/>
        </w:rPr>
        <w:t xml:space="preserve">du 18 janvier 2019. </w:t>
      </w:r>
    </w:p>
    <w:p w:rsidR="00EF33F2" w:rsidRPr="00EF33F2" w:rsidRDefault="00EF33F2" w:rsidP="00EF33F2">
      <w:pPr>
        <w:pStyle w:val="-LettreTexteGEDA"/>
        <w:spacing w:before="0"/>
        <w:rPr>
          <w:rFonts w:ascii="Cambria" w:hAnsi="Cambria"/>
          <w:noProof w:val="0"/>
        </w:rPr>
      </w:pPr>
    </w:p>
    <w:p w:rsidR="00EF33F2" w:rsidRDefault="00EF33F2" w:rsidP="00EF33F2">
      <w:pPr>
        <w:pStyle w:val="-LettreTexteGEDA"/>
        <w:spacing w:before="0"/>
        <w:ind w:firstLine="0"/>
        <w:rPr>
          <w:rFonts w:ascii="Cambria" w:hAnsi="Cambria"/>
          <w:noProof w:val="0"/>
        </w:rPr>
      </w:pPr>
      <w:r w:rsidRPr="00EF33F2">
        <w:rPr>
          <w:rFonts w:ascii="Cambria" w:hAnsi="Cambria"/>
          <w:noProof w:val="0"/>
        </w:rPr>
        <w:t xml:space="preserve">La délibération </w:t>
      </w:r>
      <w:r w:rsidR="004C0B54">
        <w:rPr>
          <w:rFonts w:ascii="Cambria" w:hAnsi="Cambria"/>
          <w:noProof w:val="0"/>
        </w:rPr>
        <w:t>du Conseil d’administration du régime des non-salariés</w:t>
      </w:r>
      <w:r w:rsidR="004C0B54" w:rsidRPr="00EF33F2">
        <w:rPr>
          <w:rFonts w:ascii="Cambria" w:hAnsi="Cambria"/>
          <w:noProof w:val="0"/>
        </w:rPr>
        <w:t xml:space="preserve"> </w:t>
      </w:r>
      <w:r w:rsidRPr="00EF33F2">
        <w:rPr>
          <w:rFonts w:ascii="Cambria" w:hAnsi="Cambria"/>
          <w:noProof w:val="0"/>
        </w:rPr>
        <w:t xml:space="preserve">du 27 juin 2019 ne modifie pas substantiellement l’ancien dispositif. Elle prend en compte l’environnement familial des personnes âgées et/ou handicapées. Elle ajoute de nouveaux </w:t>
      </w:r>
      <w:r w:rsidRPr="00EF33F2">
        <w:rPr>
          <w:rFonts w:ascii="Cambria" w:hAnsi="Cambria"/>
          <w:noProof w:val="0"/>
        </w:rPr>
        <w:lastRenderedPageBreak/>
        <w:t xml:space="preserve">critères pour l’aidant qui doit avoir au moins 18 ans et qui doit s’engager à suivre une formation spécifique à la prise en charge de ce type de public. </w:t>
      </w:r>
    </w:p>
    <w:p w:rsidR="007A6288" w:rsidRDefault="007A6288" w:rsidP="00EF33F2">
      <w:pPr>
        <w:pStyle w:val="-LettreTexteGEDA"/>
        <w:spacing w:before="0"/>
        <w:ind w:firstLine="0"/>
        <w:rPr>
          <w:rFonts w:ascii="Cambria" w:hAnsi="Cambria"/>
          <w:noProof w:val="0"/>
        </w:rPr>
      </w:pPr>
    </w:p>
    <w:p w:rsidR="007A6288" w:rsidRPr="00EF33F2" w:rsidRDefault="007A6288" w:rsidP="00EF33F2">
      <w:pPr>
        <w:pStyle w:val="-LettreTexteGEDA"/>
        <w:spacing w:before="0"/>
        <w:ind w:firstLine="0"/>
        <w:rPr>
          <w:rFonts w:ascii="Cambria" w:hAnsi="Cambria"/>
          <w:noProof w:val="0"/>
        </w:rPr>
      </w:pPr>
    </w:p>
    <w:p w:rsidR="007A6288" w:rsidRPr="001B73BC" w:rsidRDefault="007A6288" w:rsidP="007A6288">
      <w:pPr>
        <w:rPr>
          <w:rFonts w:asciiTheme="majorHAnsi" w:hAnsiTheme="majorHAnsi"/>
          <w:b/>
        </w:rPr>
      </w:pPr>
      <w:r>
        <w:rPr>
          <w:rFonts w:asciiTheme="majorHAnsi" w:hAnsiTheme="majorHAnsi"/>
          <w:b/>
        </w:rPr>
        <w:t>Soutien financier</w:t>
      </w:r>
      <w:r w:rsidRPr="001B73BC">
        <w:rPr>
          <w:rFonts w:asciiTheme="majorHAnsi" w:hAnsiTheme="majorHAnsi"/>
          <w:b/>
        </w:rPr>
        <w:t xml:space="preserve"> aux associations de santé </w:t>
      </w:r>
    </w:p>
    <w:p w:rsidR="007A6288" w:rsidRDefault="007A6288" w:rsidP="007A6288"/>
    <w:p w:rsidR="007A6288" w:rsidRPr="001B73BC" w:rsidRDefault="007A6288" w:rsidP="007A6288">
      <w:pPr>
        <w:jc w:val="both"/>
        <w:rPr>
          <w:rFonts w:asciiTheme="majorHAnsi" w:hAnsiTheme="majorHAnsi"/>
          <w:b/>
        </w:rPr>
      </w:pPr>
      <w:r w:rsidRPr="001B73BC">
        <w:rPr>
          <w:rFonts w:asciiTheme="majorHAnsi" w:hAnsiTheme="majorHAnsi"/>
        </w:rPr>
        <w:t>Le Conseil des ministres a examiné 7 dossiers de subventions de fonctionnement au titre de l’année 2019 en faveur d’association œuvrant dans le domaine de la santé,</w:t>
      </w:r>
      <w:r>
        <w:rPr>
          <w:rFonts w:asciiTheme="majorHAnsi" w:hAnsiTheme="majorHAnsi"/>
        </w:rPr>
        <w:t xml:space="preserve"> </w:t>
      </w:r>
      <w:r w:rsidRPr="001B73BC">
        <w:rPr>
          <w:rFonts w:asciiTheme="majorHAnsi" w:hAnsiTheme="majorHAnsi"/>
        </w:rPr>
        <w:t xml:space="preserve">pour un montant global de </w:t>
      </w:r>
      <w:r w:rsidRPr="009F5092">
        <w:rPr>
          <w:rFonts w:asciiTheme="majorHAnsi" w:hAnsiTheme="majorHAnsi"/>
        </w:rPr>
        <w:t xml:space="preserve">13 300 000 </w:t>
      </w:r>
      <w:proofErr w:type="spellStart"/>
      <w:r w:rsidRPr="009F5092">
        <w:rPr>
          <w:rFonts w:asciiTheme="majorHAnsi" w:hAnsiTheme="majorHAnsi"/>
        </w:rPr>
        <w:t>Fcfp</w:t>
      </w:r>
      <w:proofErr w:type="spellEnd"/>
      <w:r w:rsidRPr="009F5092">
        <w:rPr>
          <w:rFonts w:asciiTheme="majorHAnsi" w:hAnsiTheme="majorHAnsi"/>
        </w:rPr>
        <w:t>,</w:t>
      </w:r>
      <w:r w:rsidRPr="001B73BC">
        <w:rPr>
          <w:rFonts w:asciiTheme="majorHAnsi" w:hAnsiTheme="majorHAnsi"/>
        </w:rPr>
        <w:t xml:space="preserve"> selon les modalités suivantes :</w:t>
      </w:r>
    </w:p>
    <w:p w:rsidR="007A6288" w:rsidRPr="001B73BC" w:rsidRDefault="007A6288" w:rsidP="007A6288">
      <w:pPr>
        <w:rPr>
          <w:rFonts w:asciiTheme="majorHAnsi" w:hAnsiTheme="majorHAnsi"/>
        </w:rPr>
      </w:pPr>
    </w:p>
    <w:p w:rsidR="007A6288" w:rsidRPr="001B73BC" w:rsidRDefault="007A6288" w:rsidP="007A6288">
      <w:pPr>
        <w:pStyle w:val="-LettreTexteGEDA"/>
        <w:numPr>
          <w:ilvl w:val="0"/>
          <w:numId w:val="22"/>
        </w:numPr>
        <w:tabs>
          <w:tab w:val="clear" w:pos="1211"/>
        </w:tabs>
        <w:ind w:left="1134" w:hanging="283"/>
        <w:textAlignment w:val="auto"/>
        <w:rPr>
          <w:rFonts w:asciiTheme="majorHAnsi" w:hAnsiTheme="majorHAnsi"/>
          <w:noProof w:val="0"/>
        </w:rPr>
      </w:pPr>
      <w:r w:rsidRPr="001B73BC">
        <w:rPr>
          <w:rFonts w:asciiTheme="majorHAnsi" w:hAnsiTheme="majorHAnsi"/>
          <w:noProof w:val="0"/>
        </w:rPr>
        <w:t>4 500 000 </w:t>
      </w:r>
      <w:proofErr w:type="spellStart"/>
      <w:r w:rsidRPr="001B73BC">
        <w:rPr>
          <w:rFonts w:asciiTheme="majorHAnsi" w:hAnsiTheme="majorHAnsi"/>
          <w:noProof w:val="0"/>
        </w:rPr>
        <w:t>Fcfp</w:t>
      </w:r>
      <w:proofErr w:type="spellEnd"/>
      <w:r w:rsidRPr="001B73BC">
        <w:rPr>
          <w:rFonts w:asciiTheme="majorHAnsi" w:hAnsiTheme="majorHAnsi"/>
          <w:noProof w:val="0"/>
        </w:rPr>
        <w:t xml:space="preserve"> en faveur de l’association SOS Suicide pour l’activité générale de l’association et du centre de prévention du suicide ;</w:t>
      </w:r>
    </w:p>
    <w:p w:rsidR="007A6288" w:rsidRPr="001B73BC" w:rsidRDefault="007A6288" w:rsidP="007A6288">
      <w:pPr>
        <w:pStyle w:val="-LettreTexteGEDA"/>
        <w:numPr>
          <w:ilvl w:val="0"/>
          <w:numId w:val="22"/>
        </w:numPr>
        <w:tabs>
          <w:tab w:val="clear" w:pos="1211"/>
        </w:tabs>
        <w:ind w:left="1134" w:hanging="283"/>
        <w:textAlignment w:val="auto"/>
        <w:rPr>
          <w:rFonts w:asciiTheme="majorHAnsi" w:hAnsiTheme="majorHAnsi"/>
          <w:noProof w:val="0"/>
        </w:rPr>
      </w:pPr>
      <w:r w:rsidRPr="001B73BC">
        <w:rPr>
          <w:rFonts w:asciiTheme="majorHAnsi" w:hAnsiTheme="majorHAnsi"/>
          <w:noProof w:val="0"/>
        </w:rPr>
        <w:t xml:space="preserve"> 3 000 000 </w:t>
      </w:r>
      <w:proofErr w:type="spellStart"/>
      <w:r w:rsidRPr="001B73BC">
        <w:rPr>
          <w:rFonts w:asciiTheme="majorHAnsi" w:hAnsiTheme="majorHAnsi"/>
          <w:noProof w:val="0"/>
        </w:rPr>
        <w:t>Fcfp</w:t>
      </w:r>
      <w:proofErr w:type="spellEnd"/>
      <w:r w:rsidRPr="001B73BC">
        <w:rPr>
          <w:rFonts w:asciiTheme="majorHAnsi" w:hAnsiTheme="majorHAnsi"/>
          <w:noProof w:val="0"/>
        </w:rPr>
        <w:t xml:space="preserve"> en faveur de l’association Union du Sport Scolaire Polynésien (USSP) pour financier l’organisation du programme intitulé « Marche pour ta santé » ;</w:t>
      </w:r>
    </w:p>
    <w:p w:rsidR="007A6288" w:rsidRPr="001B73BC" w:rsidRDefault="007A6288" w:rsidP="007A6288">
      <w:pPr>
        <w:pStyle w:val="-LettreTexteGEDA"/>
        <w:numPr>
          <w:ilvl w:val="0"/>
          <w:numId w:val="22"/>
        </w:numPr>
        <w:tabs>
          <w:tab w:val="clear" w:pos="1211"/>
        </w:tabs>
        <w:ind w:left="1134" w:hanging="283"/>
        <w:textAlignment w:val="auto"/>
        <w:rPr>
          <w:rFonts w:asciiTheme="majorHAnsi" w:hAnsiTheme="majorHAnsi"/>
          <w:noProof w:val="0"/>
        </w:rPr>
      </w:pPr>
      <w:r w:rsidRPr="001B73BC">
        <w:rPr>
          <w:rFonts w:asciiTheme="majorHAnsi" w:hAnsiTheme="majorHAnsi"/>
          <w:noProof w:val="0"/>
        </w:rPr>
        <w:t>3 000 000 </w:t>
      </w:r>
      <w:proofErr w:type="spellStart"/>
      <w:r w:rsidRPr="001B73BC">
        <w:rPr>
          <w:rFonts w:asciiTheme="majorHAnsi" w:hAnsiTheme="majorHAnsi"/>
          <w:noProof w:val="0"/>
        </w:rPr>
        <w:t>Fcfp</w:t>
      </w:r>
      <w:proofErr w:type="spellEnd"/>
      <w:r w:rsidRPr="001B73BC">
        <w:rPr>
          <w:rFonts w:asciiTheme="majorHAnsi" w:hAnsiTheme="majorHAnsi"/>
          <w:noProof w:val="0"/>
        </w:rPr>
        <w:t xml:space="preserve"> en faveur de l’association Union du Sport Scolaire Polynésien (USSP) pour financer l’organisation du programme intitulé « Challenge, bien dans mon corps » ;</w:t>
      </w:r>
    </w:p>
    <w:p w:rsidR="007A6288" w:rsidRPr="001B73BC" w:rsidRDefault="007A6288" w:rsidP="007A6288">
      <w:pPr>
        <w:pStyle w:val="-LettreTexteGEDA"/>
        <w:numPr>
          <w:ilvl w:val="0"/>
          <w:numId w:val="22"/>
        </w:numPr>
        <w:tabs>
          <w:tab w:val="clear" w:pos="1211"/>
        </w:tabs>
        <w:ind w:left="1134" w:hanging="283"/>
        <w:textAlignment w:val="auto"/>
        <w:rPr>
          <w:rFonts w:asciiTheme="majorHAnsi" w:hAnsiTheme="majorHAnsi"/>
          <w:noProof w:val="0"/>
        </w:rPr>
      </w:pPr>
      <w:r w:rsidRPr="001B73BC">
        <w:rPr>
          <w:rFonts w:asciiTheme="majorHAnsi" w:hAnsiTheme="majorHAnsi"/>
          <w:noProof w:val="0"/>
        </w:rPr>
        <w:t>1 200 000 </w:t>
      </w:r>
      <w:proofErr w:type="spellStart"/>
      <w:r w:rsidRPr="001B73BC">
        <w:rPr>
          <w:rFonts w:asciiTheme="majorHAnsi" w:hAnsiTheme="majorHAnsi"/>
          <w:noProof w:val="0"/>
        </w:rPr>
        <w:t>Fcfp</w:t>
      </w:r>
      <w:proofErr w:type="spellEnd"/>
      <w:r w:rsidRPr="001B73BC">
        <w:rPr>
          <w:rFonts w:asciiTheme="majorHAnsi" w:hAnsiTheme="majorHAnsi"/>
          <w:noProof w:val="0"/>
        </w:rPr>
        <w:t xml:space="preserve"> en faveur de l’associ</w:t>
      </w:r>
      <w:r>
        <w:rPr>
          <w:rFonts w:asciiTheme="majorHAnsi" w:hAnsiTheme="majorHAnsi"/>
          <w:noProof w:val="0"/>
        </w:rPr>
        <w:t>ation Un don de vie pour financ</w:t>
      </w:r>
      <w:r w:rsidRPr="001B73BC">
        <w:rPr>
          <w:rFonts w:asciiTheme="majorHAnsi" w:hAnsiTheme="majorHAnsi"/>
          <w:noProof w:val="0"/>
        </w:rPr>
        <w:t>er l’organisation d’une journée intitulée « </w:t>
      </w:r>
      <w:proofErr w:type="spellStart"/>
      <w:r w:rsidRPr="001B73BC">
        <w:rPr>
          <w:rFonts w:asciiTheme="majorHAnsi" w:hAnsiTheme="majorHAnsi"/>
          <w:noProof w:val="0"/>
        </w:rPr>
        <w:t>Solidon</w:t>
      </w:r>
      <w:proofErr w:type="spellEnd"/>
      <w:r w:rsidRPr="001B73BC">
        <w:rPr>
          <w:rFonts w:asciiTheme="majorHAnsi" w:hAnsiTheme="majorHAnsi"/>
          <w:noProof w:val="0"/>
        </w:rPr>
        <w:t> » ;</w:t>
      </w:r>
    </w:p>
    <w:p w:rsidR="007A6288" w:rsidRPr="001B73BC" w:rsidRDefault="007A6288" w:rsidP="007A6288">
      <w:pPr>
        <w:pStyle w:val="-LettreTexteGEDA"/>
        <w:numPr>
          <w:ilvl w:val="0"/>
          <w:numId w:val="22"/>
        </w:numPr>
        <w:textAlignment w:val="auto"/>
        <w:rPr>
          <w:rFonts w:asciiTheme="majorHAnsi" w:hAnsiTheme="majorHAnsi"/>
          <w:noProof w:val="0"/>
        </w:rPr>
      </w:pPr>
      <w:r>
        <w:rPr>
          <w:rFonts w:asciiTheme="majorHAnsi" w:hAnsiTheme="majorHAnsi"/>
          <w:noProof w:val="0"/>
        </w:rPr>
        <w:t>1 0</w:t>
      </w:r>
      <w:r w:rsidRPr="001B73BC">
        <w:rPr>
          <w:rFonts w:asciiTheme="majorHAnsi" w:hAnsiTheme="majorHAnsi"/>
          <w:noProof w:val="0"/>
        </w:rPr>
        <w:t>00 000 </w:t>
      </w:r>
      <w:proofErr w:type="spellStart"/>
      <w:r w:rsidRPr="001B73BC">
        <w:rPr>
          <w:rFonts w:asciiTheme="majorHAnsi" w:hAnsiTheme="majorHAnsi"/>
          <w:noProof w:val="0"/>
        </w:rPr>
        <w:t>Fcfp</w:t>
      </w:r>
      <w:proofErr w:type="spellEnd"/>
      <w:r w:rsidRPr="001B73BC">
        <w:rPr>
          <w:rFonts w:asciiTheme="majorHAnsi" w:hAnsiTheme="majorHAnsi"/>
          <w:noProof w:val="0"/>
        </w:rPr>
        <w:t xml:space="preserve"> en faveur de l’association Fraternité Chrétiennes des Handicapés pour participer aux 24</w:t>
      </w:r>
      <w:r w:rsidRPr="001B73BC">
        <w:rPr>
          <w:rFonts w:asciiTheme="majorHAnsi" w:hAnsiTheme="majorHAnsi"/>
          <w:noProof w:val="0"/>
          <w:vertAlign w:val="superscript"/>
        </w:rPr>
        <w:t>emes</w:t>
      </w:r>
      <w:r w:rsidRPr="001B73BC">
        <w:rPr>
          <w:rFonts w:asciiTheme="majorHAnsi" w:hAnsiTheme="majorHAnsi"/>
          <w:noProof w:val="0"/>
        </w:rPr>
        <w:t xml:space="preserve"> jeux de l’Avenir en France ;</w:t>
      </w:r>
    </w:p>
    <w:p w:rsidR="007A6288" w:rsidRPr="001B73BC" w:rsidRDefault="007A6288" w:rsidP="007A6288">
      <w:pPr>
        <w:pStyle w:val="-LettreTexteGEDA"/>
        <w:numPr>
          <w:ilvl w:val="0"/>
          <w:numId w:val="22"/>
        </w:numPr>
        <w:tabs>
          <w:tab w:val="clear" w:pos="1211"/>
        </w:tabs>
        <w:ind w:left="1134" w:hanging="283"/>
        <w:textAlignment w:val="auto"/>
        <w:rPr>
          <w:rFonts w:asciiTheme="majorHAnsi" w:hAnsiTheme="majorHAnsi"/>
          <w:noProof w:val="0"/>
        </w:rPr>
      </w:pPr>
      <w:r w:rsidRPr="001B73BC">
        <w:rPr>
          <w:rFonts w:asciiTheme="majorHAnsi" w:hAnsiTheme="majorHAnsi"/>
          <w:noProof w:val="0"/>
        </w:rPr>
        <w:t>300 000 </w:t>
      </w:r>
      <w:proofErr w:type="spellStart"/>
      <w:r w:rsidRPr="001B73BC">
        <w:rPr>
          <w:rFonts w:asciiTheme="majorHAnsi" w:hAnsiTheme="majorHAnsi"/>
          <w:noProof w:val="0"/>
        </w:rPr>
        <w:t>Fcfp</w:t>
      </w:r>
      <w:proofErr w:type="spellEnd"/>
      <w:r w:rsidRPr="001B73BC">
        <w:rPr>
          <w:rFonts w:asciiTheme="majorHAnsi" w:hAnsiTheme="majorHAnsi"/>
          <w:noProof w:val="0"/>
        </w:rPr>
        <w:t xml:space="preserve"> en faveur de la Fédération Tahitienne de cyclisme pour l’organisation de l’action intitulée « Cyclo cancer 2019 » ;</w:t>
      </w:r>
    </w:p>
    <w:p w:rsidR="007A6288" w:rsidRDefault="007A6288" w:rsidP="007A6288">
      <w:pPr>
        <w:pStyle w:val="-LettreTexteGEDA"/>
        <w:numPr>
          <w:ilvl w:val="0"/>
          <w:numId w:val="22"/>
        </w:numPr>
        <w:tabs>
          <w:tab w:val="clear" w:pos="1211"/>
        </w:tabs>
        <w:ind w:left="1134" w:hanging="283"/>
        <w:textAlignment w:val="auto"/>
        <w:rPr>
          <w:rFonts w:asciiTheme="majorHAnsi" w:hAnsiTheme="majorHAnsi"/>
          <w:noProof w:val="0"/>
        </w:rPr>
      </w:pPr>
      <w:r w:rsidRPr="001B73BC">
        <w:rPr>
          <w:rFonts w:asciiTheme="majorHAnsi" w:hAnsiTheme="majorHAnsi"/>
          <w:noProof w:val="0"/>
        </w:rPr>
        <w:t>300 000 </w:t>
      </w:r>
      <w:proofErr w:type="spellStart"/>
      <w:r w:rsidRPr="001B73BC">
        <w:rPr>
          <w:rFonts w:asciiTheme="majorHAnsi" w:hAnsiTheme="majorHAnsi"/>
          <w:noProof w:val="0"/>
        </w:rPr>
        <w:t>Fcfp</w:t>
      </w:r>
      <w:proofErr w:type="spellEnd"/>
      <w:r w:rsidRPr="001B73BC">
        <w:rPr>
          <w:rFonts w:asciiTheme="majorHAnsi" w:hAnsiTheme="majorHAnsi"/>
          <w:noProof w:val="0"/>
        </w:rPr>
        <w:t xml:space="preserve"> en faveur de l’association </w:t>
      </w:r>
      <w:proofErr w:type="spellStart"/>
      <w:r w:rsidRPr="001B73BC">
        <w:rPr>
          <w:rFonts w:asciiTheme="majorHAnsi" w:hAnsiTheme="majorHAnsi"/>
          <w:noProof w:val="0"/>
        </w:rPr>
        <w:t>Taekwon</w:t>
      </w:r>
      <w:proofErr w:type="spellEnd"/>
      <w:r w:rsidRPr="001B73BC">
        <w:rPr>
          <w:rFonts w:asciiTheme="majorHAnsi" w:hAnsiTheme="majorHAnsi"/>
          <w:noProof w:val="0"/>
        </w:rPr>
        <w:t xml:space="preserve"> Club </w:t>
      </w:r>
      <w:proofErr w:type="spellStart"/>
      <w:r w:rsidRPr="001B73BC">
        <w:rPr>
          <w:rFonts w:asciiTheme="majorHAnsi" w:hAnsiTheme="majorHAnsi"/>
          <w:noProof w:val="0"/>
        </w:rPr>
        <w:t>Tuterai</w:t>
      </w:r>
      <w:proofErr w:type="spellEnd"/>
      <w:r w:rsidRPr="001B73BC">
        <w:rPr>
          <w:rFonts w:asciiTheme="majorHAnsi" w:hAnsiTheme="majorHAnsi"/>
          <w:noProof w:val="0"/>
        </w:rPr>
        <w:t xml:space="preserve"> Tane pour l’organisation de l’action intitulée « </w:t>
      </w:r>
      <w:proofErr w:type="spellStart"/>
      <w:r w:rsidRPr="001B73BC">
        <w:rPr>
          <w:rFonts w:asciiTheme="majorHAnsi" w:hAnsiTheme="majorHAnsi"/>
          <w:noProof w:val="0"/>
        </w:rPr>
        <w:t>BodyFit</w:t>
      </w:r>
      <w:proofErr w:type="spellEnd"/>
      <w:r w:rsidRPr="001B73BC">
        <w:rPr>
          <w:rFonts w:asciiTheme="majorHAnsi" w:hAnsiTheme="majorHAnsi"/>
          <w:noProof w:val="0"/>
        </w:rPr>
        <w:t xml:space="preserve"> Martial Art 3 ».</w:t>
      </w:r>
    </w:p>
    <w:p w:rsidR="00EF33F2" w:rsidRPr="00EF33F2" w:rsidRDefault="00EF33F2" w:rsidP="00C34DFF">
      <w:pPr>
        <w:pStyle w:val="Standard"/>
        <w:spacing w:before="120" w:after="0" w:line="240" w:lineRule="auto"/>
        <w:jc w:val="both"/>
        <w:rPr>
          <w:rFonts w:ascii="Cambria" w:hAnsi="Cambria"/>
          <w:sz w:val="24"/>
          <w:szCs w:val="24"/>
        </w:rPr>
      </w:pPr>
    </w:p>
    <w:p w:rsidR="00C34DFF" w:rsidRPr="00EF33F2" w:rsidRDefault="00C34DFF" w:rsidP="00CE47CE">
      <w:pPr>
        <w:widowControl w:val="0"/>
        <w:autoSpaceDE w:val="0"/>
        <w:autoSpaceDN w:val="0"/>
        <w:adjustRightInd w:val="0"/>
        <w:rPr>
          <w:rFonts w:ascii="Cambria" w:hAnsi="Cambria"/>
        </w:rPr>
      </w:pPr>
    </w:p>
    <w:p w:rsidR="007052A3" w:rsidRDefault="007052A3" w:rsidP="007052A3">
      <w:pPr>
        <w:rPr>
          <w:rFonts w:ascii="Cambria" w:hAnsi="Cambria"/>
          <w:b/>
          <w:bCs/>
          <w:lang w:eastAsia="en-US"/>
        </w:rPr>
      </w:pPr>
      <w:r>
        <w:rPr>
          <w:rFonts w:ascii="Cambria" w:hAnsi="Cambria"/>
          <w:b/>
          <w:bCs/>
        </w:rPr>
        <w:t xml:space="preserve">Subventions de fonctionnement aux associations sportives </w:t>
      </w:r>
    </w:p>
    <w:p w:rsidR="007052A3" w:rsidRDefault="007052A3" w:rsidP="007052A3">
      <w:pPr>
        <w:jc w:val="both"/>
        <w:rPr>
          <w:rFonts w:ascii="Cambria" w:hAnsi="Cambria"/>
        </w:rPr>
      </w:pPr>
    </w:p>
    <w:p w:rsidR="007052A3" w:rsidRDefault="007052A3" w:rsidP="007052A3">
      <w:pPr>
        <w:jc w:val="both"/>
        <w:rPr>
          <w:rFonts w:ascii="Cambria" w:hAnsi="Cambria"/>
        </w:rPr>
      </w:pPr>
      <w:r>
        <w:rPr>
          <w:rFonts w:ascii="Cambria" w:hAnsi="Cambria"/>
        </w:rPr>
        <w:t xml:space="preserve">Le Conseil des ministres a examiné 13 dossiers de subventions destinées aux associations sportives pour un montant global de 5 332 000 </w:t>
      </w:r>
      <w:proofErr w:type="spellStart"/>
      <w:r>
        <w:rPr>
          <w:rFonts w:ascii="Cambria" w:hAnsi="Cambria"/>
        </w:rPr>
        <w:t>Fcfp</w:t>
      </w:r>
      <w:proofErr w:type="spellEnd"/>
      <w:r>
        <w:rPr>
          <w:rFonts w:ascii="Cambria" w:hAnsi="Cambria"/>
        </w:rPr>
        <w:t>.</w:t>
      </w:r>
      <w:r>
        <w:rPr>
          <w:rFonts w:ascii="Cambria" w:hAnsi="Cambria"/>
        </w:rPr>
        <w:t xml:space="preserve"> </w:t>
      </w:r>
      <w:r>
        <w:rPr>
          <w:rFonts w:ascii="Cambria" w:hAnsi="Cambria"/>
        </w:rPr>
        <w:t xml:space="preserve">Les subventions attribuées sont les suivantes : </w:t>
      </w:r>
    </w:p>
    <w:p w:rsidR="007052A3" w:rsidRDefault="007052A3" w:rsidP="007052A3">
      <w:pPr>
        <w:jc w:val="both"/>
        <w:rPr>
          <w:rFonts w:ascii="Cambria" w:hAnsi="Cambria"/>
        </w:rPr>
      </w:pPr>
    </w:p>
    <w:p w:rsidR="007052A3" w:rsidRDefault="007052A3" w:rsidP="007052A3">
      <w:pPr>
        <w:pStyle w:val="Paragraphedeliste"/>
        <w:spacing w:after="240"/>
        <w:ind w:left="360"/>
        <w:jc w:val="both"/>
        <w:rPr>
          <w:rFonts w:ascii="Cambria" w:hAnsi="Cambria"/>
          <w:sz w:val="24"/>
          <w:szCs w:val="24"/>
        </w:rPr>
      </w:pPr>
      <w:r>
        <w:rPr>
          <w:rFonts w:ascii="Cambria" w:hAnsi="Cambria"/>
          <w:sz w:val="24"/>
          <w:szCs w:val="24"/>
        </w:rPr>
        <w:t>Subventions de fonctionnement au titre des activités générales pour 2019 :</w:t>
      </w:r>
    </w:p>
    <w:p w:rsidR="007052A3" w:rsidRDefault="007052A3" w:rsidP="007052A3">
      <w:pPr>
        <w:pStyle w:val="Paragraphedeliste"/>
        <w:spacing w:after="240"/>
        <w:ind w:left="425"/>
        <w:jc w:val="both"/>
        <w:rPr>
          <w:rFonts w:ascii="Cambria" w:hAnsi="Cambria"/>
          <w:sz w:val="24"/>
          <w:szCs w:val="24"/>
        </w:rPr>
      </w:pPr>
    </w:p>
    <w:p w:rsidR="007052A3" w:rsidRDefault="007052A3" w:rsidP="007052A3">
      <w:pPr>
        <w:pStyle w:val="Paragraphedeliste"/>
        <w:numPr>
          <w:ilvl w:val="1"/>
          <w:numId w:val="23"/>
        </w:numPr>
        <w:spacing w:before="240"/>
        <w:ind w:left="709"/>
        <w:jc w:val="both"/>
        <w:rPr>
          <w:rFonts w:ascii="Cambria" w:hAnsi="Cambria"/>
          <w:sz w:val="24"/>
          <w:szCs w:val="24"/>
        </w:rPr>
      </w:pPr>
      <w:r>
        <w:rPr>
          <w:rFonts w:ascii="Cambria" w:hAnsi="Cambria"/>
          <w:sz w:val="24"/>
          <w:szCs w:val="24"/>
        </w:rPr>
        <w:t xml:space="preserve">District de Volley-Ball des Marquises Sud pour un montant de 250 000 </w:t>
      </w:r>
      <w:proofErr w:type="spellStart"/>
      <w:r>
        <w:rPr>
          <w:rFonts w:ascii="Cambria" w:hAnsi="Cambria"/>
          <w:sz w:val="24"/>
          <w:szCs w:val="24"/>
        </w:rPr>
        <w:t>Fcfp</w:t>
      </w:r>
      <w:proofErr w:type="spellEnd"/>
      <w:r>
        <w:rPr>
          <w:rFonts w:ascii="Cambria" w:hAnsi="Cambria"/>
          <w:sz w:val="24"/>
          <w:szCs w:val="24"/>
        </w:rPr>
        <w:t> ;</w:t>
      </w:r>
    </w:p>
    <w:p w:rsidR="007052A3" w:rsidRDefault="007052A3" w:rsidP="007052A3">
      <w:pPr>
        <w:pStyle w:val="Paragraphedeliste"/>
        <w:numPr>
          <w:ilvl w:val="0"/>
          <w:numId w:val="24"/>
        </w:numPr>
        <w:spacing w:before="120" w:after="240"/>
        <w:ind w:left="709"/>
        <w:jc w:val="both"/>
        <w:rPr>
          <w:rFonts w:ascii="Cambria" w:hAnsi="Cambria"/>
          <w:sz w:val="24"/>
          <w:szCs w:val="24"/>
        </w:rPr>
      </w:pPr>
      <w:r>
        <w:rPr>
          <w:rFonts w:ascii="Cambria" w:hAnsi="Cambria"/>
          <w:sz w:val="24"/>
          <w:szCs w:val="24"/>
        </w:rPr>
        <w:t xml:space="preserve">Association sportive </w:t>
      </w:r>
      <w:proofErr w:type="spellStart"/>
      <w:r>
        <w:rPr>
          <w:rFonts w:ascii="Cambria" w:hAnsi="Cambria"/>
          <w:sz w:val="24"/>
          <w:szCs w:val="24"/>
        </w:rPr>
        <w:t>Poumaka</w:t>
      </w:r>
      <w:proofErr w:type="spellEnd"/>
      <w:r>
        <w:rPr>
          <w:rFonts w:ascii="Cambria" w:hAnsi="Cambria"/>
          <w:sz w:val="24"/>
          <w:szCs w:val="24"/>
        </w:rPr>
        <w:t xml:space="preserve"> pour un montant de 496 000 </w:t>
      </w:r>
      <w:proofErr w:type="spellStart"/>
      <w:r>
        <w:rPr>
          <w:rFonts w:ascii="Cambria" w:hAnsi="Cambria"/>
          <w:sz w:val="24"/>
          <w:szCs w:val="24"/>
        </w:rPr>
        <w:t>Fcfp</w:t>
      </w:r>
      <w:proofErr w:type="spellEnd"/>
      <w:r>
        <w:rPr>
          <w:rFonts w:ascii="Cambria" w:hAnsi="Cambria"/>
          <w:sz w:val="24"/>
          <w:szCs w:val="24"/>
        </w:rPr>
        <w:t> ;</w:t>
      </w:r>
    </w:p>
    <w:p w:rsidR="007052A3" w:rsidRDefault="007052A3" w:rsidP="007052A3">
      <w:pPr>
        <w:pStyle w:val="Paragraphedeliste"/>
        <w:numPr>
          <w:ilvl w:val="0"/>
          <w:numId w:val="24"/>
        </w:numPr>
        <w:spacing w:before="120" w:after="240"/>
        <w:ind w:left="709"/>
        <w:jc w:val="both"/>
        <w:rPr>
          <w:rFonts w:ascii="Cambria" w:hAnsi="Cambria"/>
          <w:sz w:val="24"/>
          <w:szCs w:val="24"/>
        </w:rPr>
      </w:pPr>
      <w:r>
        <w:rPr>
          <w:rFonts w:ascii="Cambria" w:hAnsi="Cambria"/>
          <w:sz w:val="24"/>
          <w:szCs w:val="24"/>
        </w:rPr>
        <w:t xml:space="preserve">Association Saint-Etienne Jeunes de </w:t>
      </w:r>
      <w:proofErr w:type="spellStart"/>
      <w:r>
        <w:rPr>
          <w:rFonts w:ascii="Cambria" w:hAnsi="Cambria"/>
          <w:sz w:val="24"/>
          <w:szCs w:val="24"/>
        </w:rPr>
        <w:t>Hakahau</w:t>
      </w:r>
      <w:proofErr w:type="spellEnd"/>
      <w:r>
        <w:rPr>
          <w:rFonts w:ascii="Cambria" w:hAnsi="Cambria"/>
          <w:sz w:val="24"/>
          <w:szCs w:val="24"/>
        </w:rPr>
        <w:t xml:space="preserve"> pour un montant de 744 000 </w:t>
      </w:r>
      <w:proofErr w:type="spellStart"/>
      <w:r>
        <w:rPr>
          <w:rFonts w:ascii="Cambria" w:hAnsi="Cambria"/>
          <w:sz w:val="24"/>
          <w:szCs w:val="24"/>
        </w:rPr>
        <w:t>Fcfp</w:t>
      </w:r>
      <w:proofErr w:type="spellEnd"/>
      <w:r>
        <w:rPr>
          <w:rFonts w:ascii="Cambria" w:hAnsi="Cambria"/>
          <w:sz w:val="24"/>
          <w:szCs w:val="24"/>
        </w:rPr>
        <w:t> ;</w:t>
      </w:r>
      <w:bookmarkStart w:id="1" w:name="_GoBack"/>
      <w:bookmarkEnd w:id="1"/>
    </w:p>
    <w:p w:rsidR="007052A3" w:rsidRDefault="007052A3" w:rsidP="007052A3">
      <w:pPr>
        <w:pStyle w:val="Paragraphedeliste"/>
        <w:numPr>
          <w:ilvl w:val="0"/>
          <w:numId w:val="24"/>
        </w:numPr>
        <w:spacing w:before="120" w:after="240"/>
        <w:ind w:left="709"/>
        <w:jc w:val="both"/>
        <w:rPr>
          <w:rFonts w:ascii="Cambria" w:hAnsi="Cambria"/>
          <w:sz w:val="24"/>
          <w:szCs w:val="24"/>
        </w:rPr>
      </w:pPr>
      <w:r>
        <w:rPr>
          <w:rFonts w:ascii="Cambria" w:hAnsi="Cambria"/>
          <w:sz w:val="24"/>
          <w:szCs w:val="24"/>
        </w:rPr>
        <w:t xml:space="preserve">Judo Club de </w:t>
      </w:r>
      <w:proofErr w:type="spellStart"/>
      <w:r>
        <w:rPr>
          <w:rFonts w:ascii="Cambria" w:hAnsi="Cambria"/>
          <w:sz w:val="24"/>
          <w:szCs w:val="24"/>
        </w:rPr>
        <w:t>Taravao</w:t>
      </w:r>
      <w:proofErr w:type="spellEnd"/>
      <w:r>
        <w:rPr>
          <w:rFonts w:ascii="Cambria" w:hAnsi="Cambria"/>
          <w:sz w:val="24"/>
          <w:szCs w:val="24"/>
        </w:rPr>
        <w:t xml:space="preserve"> pour un montant de 545 000 </w:t>
      </w:r>
      <w:proofErr w:type="spellStart"/>
      <w:r>
        <w:rPr>
          <w:rFonts w:ascii="Cambria" w:hAnsi="Cambria"/>
          <w:sz w:val="24"/>
          <w:szCs w:val="24"/>
        </w:rPr>
        <w:t>Fcfp</w:t>
      </w:r>
      <w:proofErr w:type="spellEnd"/>
      <w:r>
        <w:rPr>
          <w:rFonts w:ascii="Cambria" w:hAnsi="Cambria"/>
          <w:sz w:val="24"/>
          <w:szCs w:val="24"/>
        </w:rPr>
        <w:t> ;</w:t>
      </w:r>
    </w:p>
    <w:p w:rsidR="007052A3" w:rsidRDefault="007052A3" w:rsidP="007052A3">
      <w:pPr>
        <w:pStyle w:val="Paragraphedeliste"/>
        <w:numPr>
          <w:ilvl w:val="0"/>
          <w:numId w:val="24"/>
        </w:numPr>
        <w:spacing w:before="120" w:after="240"/>
        <w:ind w:left="709"/>
        <w:jc w:val="both"/>
        <w:rPr>
          <w:rFonts w:ascii="Cambria" w:hAnsi="Cambria"/>
          <w:sz w:val="24"/>
          <w:szCs w:val="24"/>
        </w:rPr>
      </w:pPr>
      <w:r>
        <w:rPr>
          <w:rFonts w:ascii="Cambria" w:hAnsi="Cambria"/>
          <w:sz w:val="24"/>
          <w:szCs w:val="24"/>
        </w:rPr>
        <w:t xml:space="preserve">Association sportive </w:t>
      </w:r>
      <w:proofErr w:type="spellStart"/>
      <w:r>
        <w:rPr>
          <w:rFonts w:ascii="Cambria" w:hAnsi="Cambria"/>
          <w:sz w:val="24"/>
          <w:szCs w:val="24"/>
        </w:rPr>
        <w:t>Fetia</w:t>
      </w:r>
      <w:proofErr w:type="spellEnd"/>
      <w:r>
        <w:rPr>
          <w:rFonts w:ascii="Cambria" w:hAnsi="Cambria"/>
          <w:sz w:val="24"/>
          <w:szCs w:val="24"/>
        </w:rPr>
        <w:t xml:space="preserve"> </w:t>
      </w:r>
      <w:proofErr w:type="spellStart"/>
      <w:r>
        <w:rPr>
          <w:rFonts w:ascii="Cambria" w:hAnsi="Cambria"/>
          <w:sz w:val="24"/>
          <w:szCs w:val="24"/>
        </w:rPr>
        <w:t>Muay</w:t>
      </w:r>
      <w:proofErr w:type="spellEnd"/>
      <w:r>
        <w:rPr>
          <w:rFonts w:ascii="Cambria" w:hAnsi="Cambria"/>
          <w:sz w:val="24"/>
          <w:szCs w:val="24"/>
        </w:rPr>
        <w:t xml:space="preserve"> </w:t>
      </w:r>
      <w:proofErr w:type="spellStart"/>
      <w:r>
        <w:rPr>
          <w:rFonts w:ascii="Cambria" w:hAnsi="Cambria"/>
          <w:sz w:val="24"/>
          <w:szCs w:val="24"/>
        </w:rPr>
        <w:t>Thai</w:t>
      </w:r>
      <w:proofErr w:type="spellEnd"/>
      <w:r>
        <w:rPr>
          <w:rFonts w:ascii="Cambria" w:hAnsi="Cambria"/>
          <w:sz w:val="24"/>
          <w:szCs w:val="24"/>
        </w:rPr>
        <w:t xml:space="preserve"> pour un montant de 356 000 </w:t>
      </w:r>
      <w:proofErr w:type="spellStart"/>
      <w:r>
        <w:rPr>
          <w:rFonts w:ascii="Cambria" w:hAnsi="Cambria"/>
          <w:sz w:val="24"/>
          <w:szCs w:val="24"/>
        </w:rPr>
        <w:t>Fcfp</w:t>
      </w:r>
      <w:proofErr w:type="spellEnd"/>
      <w:r>
        <w:rPr>
          <w:rFonts w:ascii="Cambria" w:hAnsi="Cambria"/>
          <w:sz w:val="24"/>
          <w:szCs w:val="24"/>
        </w:rPr>
        <w:t> ;</w:t>
      </w:r>
    </w:p>
    <w:p w:rsidR="007052A3" w:rsidRDefault="007052A3" w:rsidP="007052A3">
      <w:pPr>
        <w:pStyle w:val="Paragraphedeliste"/>
        <w:numPr>
          <w:ilvl w:val="0"/>
          <w:numId w:val="24"/>
        </w:numPr>
        <w:spacing w:before="120" w:after="240"/>
        <w:ind w:left="709"/>
        <w:jc w:val="both"/>
        <w:rPr>
          <w:rFonts w:ascii="Cambria" w:hAnsi="Cambria"/>
          <w:sz w:val="24"/>
          <w:szCs w:val="24"/>
        </w:rPr>
      </w:pPr>
      <w:r>
        <w:rPr>
          <w:rFonts w:ascii="Cambria" w:hAnsi="Cambria"/>
          <w:sz w:val="24"/>
          <w:szCs w:val="24"/>
        </w:rPr>
        <w:t xml:space="preserve">Association sportive Team </w:t>
      </w:r>
      <w:proofErr w:type="spellStart"/>
      <w:r>
        <w:rPr>
          <w:rFonts w:ascii="Cambria" w:hAnsi="Cambria"/>
          <w:sz w:val="24"/>
          <w:szCs w:val="24"/>
        </w:rPr>
        <w:t>Faehiri</w:t>
      </w:r>
      <w:proofErr w:type="spellEnd"/>
      <w:r>
        <w:rPr>
          <w:rFonts w:ascii="Cambria" w:hAnsi="Cambria"/>
          <w:sz w:val="24"/>
          <w:szCs w:val="24"/>
        </w:rPr>
        <w:t xml:space="preserve"> pour un montant de 608 000 </w:t>
      </w:r>
      <w:proofErr w:type="spellStart"/>
      <w:r>
        <w:rPr>
          <w:rFonts w:ascii="Cambria" w:hAnsi="Cambria"/>
          <w:sz w:val="24"/>
          <w:szCs w:val="24"/>
        </w:rPr>
        <w:t>Fcfp</w:t>
      </w:r>
      <w:proofErr w:type="spellEnd"/>
      <w:r>
        <w:rPr>
          <w:rFonts w:ascii="Cambria" w:hAnsi="Cambria"/>
          <w:sz w:val="24"/>
          <w:szCs w:val="24"/>
        </w:rPr>
        <w:t> ;</w:t>
      </w:r>
    </w:p>
    <w:p w:rsidR="007052A3" w:rsidRDefault="007052A3" w:rsidP="007052A3">
      <w:pPr>
        <w:pStyle w:val="Paragraphedeliste"/>
        <w:numPr>
          <w:ilvl w:val="0"/>
          <w:numId w:val="24"/>
        </w:numPr>
        <w:spacing w:before="120" w:after="240"/>
        <w:ind w:left="709"/>
        <w:jc w:val="both"/>
        <w:rPr>
          <w:rFonts w:ascii="Cambria" w:hAnsi="Cambria"/>
          <w:sz w:val="24"/>
          <w:szCs w:val="24"/>
        </w:rPr>
      </w:pPr>
      <w:r>
        <w:rPr>
          <w:rFonts w:ascii="Cambria" w:hAnsi="Cambria"/>
          <w:sz w:val="24"/>
          <w:szCs w:val="24"/>
        </w:rPr>
        <w:t xml:space="preserve">Comité Futsal de </w:t>
      </w:r>
      <w:proofErr w:type="spellStart"/>
      <w:r>
        <w:rPr>
          <w:rFonts w:ascii="Cambria" w:hAnsi="Cambria"/>
          <w:sz w:val="24"/>
          <w:szCs w:val="24"/>
        </w:rPr>
        <w:t>Ua</w:t>
      </w:r>
      <w:proofErr w:type="spellEnd"/>
      <w:r>
        <w:rPr>
          <w:rFonts w:ascii="Cambria" w:hAnsi="Cambria"/>
          <w:sz w:val="24"/>
          <w:szCs w:val="24"/>
        </w:rPr>
        <w:t xml:space="preserve"> Pou pour un montant de 261 000 </w:t>
      </w:r>
      <w:proofErr w:type="spellStart"/>
      <w:r>
        <w:rPr>
          <w:rFonts w:ascii="Cambria" w:hAnsi="Cambria"/>
          <w:sz w:val="24"/>
          <w:szCs w:val="24"/>
        </w:rPr>
        <w:t>Fcfp</w:t>
      </w:r>
      <w:proofErr w:type="spellEnd"/>
      <w:r>
        <w:rPr>
          <w:rFonts w:ascii="Cambria" w:hAnsi="Cambria"/>
          <w:sz w:val="24"/>
          <w:szCs w:val="24"/>
        </w:rPr>
        <w:t> ;</w:t>
      </w:r>
    </w:p>
    <w:p w:rsidR="007052A3" w:rsidRDefault="007052A3" w:rsidP="007052A3">
      <w:pPr>
        <w:pStyle w:val="Paragraphedeliste"/>
        <w:numPr>
          <w:ilvl w:val="0"/>
          <w:numId w:val="24"/>
        </w:numPr>
        <w:spacing w:before="120" w:after="240"/>
        <w:ind w:left="709"/>
        <w:jc w:val="both"/>
        <w:rPr>
          <w:rFonts w:ascii="Cambria" w:hAnsi="Cambria"/>
          <w:sz w:val="24"/>
          <w:szCs w:val="24"/>
        </w:rPr>
      </w:pPr>
      <w:r>
        <w:rPr>
          <w:rFonts w:ascii="Cambria" w:hAnsi="Cambria"/>
          <w:sz w:val="24"/>
          <w:szCs w:val="24"/>
        </w:rPr>
        <w:t xml:space="preserve">Association Moorea </w:t>
      </w:r>
      <w:proofErr w:type="spellStart"/>
      <w:r>
        <w:rPr>
          <w:rFonts w:ascii="Cambria" w:hAnsi="Cambria"/>
          <w:sz w:val="24"/>
          <w:szCs w:val="24"/>
        </w:rPr>
        <w:t>Boxing</w:t>
      </w:r>
      <w:proofErr w:type="spellEnd"/>
      <w:r>
        <w:rPr>
          <w:rFonts w:ascii="Cambria" w:hAnsi="Cambria"/>
          <w:sz w:val="24"/>
          <w:szCs w:val="24"/>
        </w:rPr>
        <w:t xml:space="preserve"> club pour un montant de 345 000 </w:t>
      </w:r>
      <w:proofErr w:type="spellStart"/>
      <w:r>
        <w:rPr>
          <w:rFonts w:ascii="Cambria" w:hAnsi="Cambria"/>
          <w:sz w:val="24"/>
          <w:szCs w:val="24"/>
        </w:rPr>
        <w:t>Fcfp</w:t>
      </w:r>
      <w:proofErr w:type="spellEnd"/>
      <w:r>
        <w:rPr>
          <w:rFonts w:ascii="Cambria" w:hAnsi="Cambria"/>
          <w:sz w:val="24"/>
          <w:szCs w:val="24"/>
        </w:rPr>
        <w:t> ;</w:t>
      </w:r>
    </w:p>
    <w:p w:rsidR="007052A3" w:rsidRDefault="007052A3" w:rsidP="007052A3">
      <w:pPr>
        <w:pStyle w:val="Paragraphedeliste"/>
        <w:numPr>
          <w:ilvl w:val="0"/>
          <w:numId w:val="24"/>
        </w:numPr>
        <w:spacing w:before="120" w:after="240"/>
        <w:ind w:left="709"/>
        <w:jc w:val="both"/>
        <w:rPr>
          <w:rFonts w:ascii="Cambria" w:hAnsi="Cambria"/>
          <w:sz w:val="24"/>
          <w:szCs w:val="24"/>
        </w:rPr>
      </w:pPr>
      <w:r>
        <w:rPr>
          <w:rFonts w:ascii="Cambria" w:hAnsi="Cambria"/>
          <w:sz w:val="24"/>
          <w:szCs w:val="24"/>
        </w:rPr>
        <w:lastRenderedPageBreak/>
        <w:t xml:space="preserve">Association sportive </w:t>
      </w:r>
      <w:proofErr w:type="spellStart"/>
      <w:r>
        <w:rPr>
          <w:rFonts w:ascii="Cambria" w:hAnsi="Cambria"/>
          <w:sz w:val="24"/>
          <w:szCs w:val="24"/>
        </w:rPr>
        <w:t>Mahina</w:t>
      </w:r>
      <w:proofErr w:type="spellEnd"/>
      <w:r>
        <w:rPr>
          <w:rFonts w:ascii="Cambria" w:hAnsi="Cambria"/>
          <w:sz w:val="24"/>
          <w:szCs w:val="24"/>
        </w:rPr>
        <w:t xml:space="preserve"> </w:t>
      </w:r>
      <w:proofErr w:type="spellStart"/>
      <w:r>
        <w:rPr>
          <w:rFonts w:ascii="Cambria" w:hAnsi="Cambria"/>
          <w:sz w:val="24"/>
          <w:szCs w:val="24"/>
        </w:rPr>
        <w:t>Boxing</w:t>
      </w:r>
      <w:proofErr w:type="spellEnd"/>
      <w:r>
        <w:rPr>
          <w:rFonts w:ascii="Cambria" w:hAnsi="Cambria"/>
          <w:sz w:val="24"/>
          <w:szCs w:val="24"/>
        </w:rPr>
        <w:t xml:space="preserve"> club pour un montant de 478 000 </w:t>
      </w:r>
      <w:proofErr w:type="spellStart"/>
      <w:r>
        <w:rPr>
          <w:rFonts w:ascii="Cambria" w:hAnsi="Cambria"/>
          <w:sz w:val="24"/>
          <w:szCs w:val="24"/>
        </w:rPr>
        <w:t>Fcfp</w:t>
      </w:r>
      <w:proofErr w:type="spellEnd"/>
      <w:r>
        <w:rPr>
          <w:rFonts w:ascii="Cambria" w:hAnsi="Cambria"/>
          <w:sz w:val="24"/>
          <w:szCs w:val="24"/>
        </w:rPr>
        <w:t> ;</w:t>
      </w:r>
    </w:p>
    <w:p w:rsidR="007052A3" w:rsidRDefault="007052A3" w:rsidP="007052A3">
      <w:pPr>
        <w:pStyle w:val="Paragraphedeliste"/>
        <w:numPr>
          <w:ilvl w:val="0"/>
          <w:numId w:val="24"/>
        </w:numPr>
        <w:spacing w:before="120" w:after="240"/>
        <w:ind w:left="709"/>
        <w:jc w:val="both"/>
        <w:rPr>
          <w:rFonts w:ascii="Cambria" w:hAnsi="Cambria"/>
          <w:sz w:val="24"/>
          <w:szCs w:val="24"/>
        </w:rPr>
      </w:pPr>
      <w:r>
        <w:rPr>
          <w:rFonts w:ascii="Cambria" w:hAnsi="Cambria"/>
          <w:sz w:val="24"/>
          <w:szCs w:val="24"/>
        </w:rPr>
        <w:t xml:space="preserve">Association District de </w:t>
      </w:r>
      <w:proofErr w:type="spellStart"/>
      <w:r>
        <w:rPr>
          <w:rFonts w:ascii="Cambria" w:hAnsi="Cambria"/>
          <w:sz w:val="24"/>
          <w:szCs w:val="24"/>
        </w:rPr>
        <w:t>Va’a</w:t>
      </w:r>
      <w:proofErr w:type="spellEnd"/>
      <w:r>
        <w:rPr>
          <w:rFonts w:ascii="Cambria" w:hAnsi="Cambria"/>
          <w:sz w:val="24"/>
          <w:szCs w:val="24"/>
        </w:rPr>
        <w:t xml:space="preserve"> de </w:t>
      </w:r>
      <w:proofErr w:type="spellStart"/>
      <w:r>
        <w:rPr>
          <w:rFonts w:ascii="Cambria" w:hAnsi="Cambria"/>
          <w:sz w:val="24"/>
          <w:szCs w:val="24"/>
        </w:rPr>
        <w:t>Nuku</w:t>
      </w:r>
      <w:proofErr w:type="spellEnd"/>
      <w:r>
        <w:rPr>
          <w:rFonts w:ascii="Cambria" w:hAnsi="Cambria"/>
          <w:sz w:val="24"/>
          <w:szCs w:val="24"/>
        </w:rPr>
        <w:t xml:space="preserve"> </w:t>
      </w:r>
      <w:proofErr w:type="spellStart"/>
      <w:r>
        <w:rPr>
          <w:rFonts w:ascii="Cambria" w:hAnsi="Cambria"/>
          <w:sz w:val="24"/>
          <w:szCs w:val="24"/>
        </w:rPr>
        <w:t>Hiva</w:t>
      </w:r>
      <w:proofErr w:type="spellEnd"/>
      <w:r>
        <w:rPr>
          <w:rFonts w:ascii="Cambria" w:hAnsi="Cambria"/>
          <w:sz w:val="24"/>
          <w:szCs w:val="24"/>
        </w:rPr>
        <w:t xml:space="preserve"> pour un montant de 200 000 </w:t>
      </w:r>
      <w:proofErr w:type="spellStart"/>
      <w:r>
        <w:rPr>
          <w:rFonts w:ascii="Cambria" w:hAnsi="Cambria"/>
          <w:sz w:val="24"/>
          <w:szCs w:val="24"/>
        </w:rPr>
        <w:t>Fcfp</w:t>
      </w:r>
      <w:proofErr w:type="spellEnd"/>
      <w:r>
        <w:rPr>
          <w:rFonts w:ascii="Cambria" w:hAnsi="Cambria"/>
          <w:sz w:val="24"/>
          <w:szCs w:val="24"/>
        </w:rPr>
        <w:t> ;</w:t>
      </w:r>
    </w:p>
    <w:p w:rsidR="007052A3" w:rsidRDefault="007052A3" w:rsidP="007052A3">
      <w:pPr>
        <w:pStyle w:val="Paragraphedeliste"/>
        <w:numPr>
          <w:ilvl w:val="0"/>
          <w:numId w:val="24"/>
        </w:numPr>
        <w:spacing w:before="120" w:after="240"/>
        <w:ind w:left="709"/>
        <w:jc w:val="both"/>
        <w:rPr>
          <w:rFonts w:ascii="Cambria" w:hAnsi="Cambria"/>
          <w:sz w:val="24"/>
          <w:szCs w:val="24"/>
        </w:rPr>
      </w:pPr>
      <w:r>
        <w:rPr>
          <w:rFonts w:ascii="Cambria" w:hAnsi="Cambria"/>
          <w:sz w:val="24"/>
          <w:szCs w:val="24"/>
        </w:rPr>
        <w:t xml:space="preserve">Association Papara Badminton pour un montant de 349 000 </w:t>
      </w:r>
      <w:proofErr w:type="spellStart"/>
      <w:r>
        <w:rPr>
          <w:rFonts w:ascii="Cambria" w:hAnsi="Cambria"/>
          <w:sz w:val="24"/>
          <w:szCs w:val="24"/>
        </w:rPr>
        <w:t>Fcfp</w:t>
      </w:r>
      <w:proofErr w:type="spellEnd"/>
      <w:r>
        <w:rPr>
          <w:rFonts w:ascii="Cambria" w:hAnsi="Cambria"/>
          <w:sz w:val="24"/>
          <w:szCs w:val="24"/>
        </w:rPr>
        <w:t> ;</w:t>
      </w:r>
    </w:p>
    <w:p w:rsidR="007052A3" w:rsidRDefault="007052A3" w:rsidP="007052A3">
      <w:pPr>
        <w:pStyle w:val="Paragraphedeliste"/>
        <w:numPr>
          <w:ilvl w:val="0"/>
          <w:numId w:val="24"/>
        </w:numPr>
        <w:spacing w:before="120" w:after="240"/>
        <w:ind w:left="709"/>
        <w:jc w:val="both"/>
        <w:rPr>
          <w:rFonts w:ascii="Cambria" w:hAnsi="Cambria"/>
          <w:sz w:val="24"/>
          <w:szCs w:val="24"/>
        </w:rPr>
      </w:pPr>
      <w:r>
        <w:rPr>
          <w:rFonts w:ascii="Cambria" w:hAnsi="Cambria"/>
          <w:sz w:val="24"/>
          <w:szCs w:val="24"/>
        </w:rPr>
        <w:t xml:space="preserve">Association MFR Papara Garçons pour un montant de 300 000 </w:t>
      </w:r>
      <w:proofErr w:type="spellStart"/>
      <w:r>
        <w:rPr>
          <w:rFonts w:ascii="Cambria" w:hAnsi="Cambria"/>
          <w:sz w:val="24"/>
          <w:szCs w:val="24"/>
        </w:rPr>
        <w:t>Fcfp</w:t>
      </w:r>
      <w:proofErr w:type="spellEnd"/>
      <w:r>
        <w:rPr>
          <w:rFonts w:ascii="Cambria" w:hAnsi="Cambria"/>
          <w:sz w:val="24"/>
          <w:szCs w:val="24"/>
        </w:rPr>
        <w:t> ;</w:t>
      </w:r>
    </w:p>
    <w:p w:rsidR="007052A3" w:rsidRDefault="007052A3" w:rsidP="007052A3">
      <w:pPr>
        <w:pStyle w:val="Paragraphedeliste"/>
        <w:spacing w:before="120" w:after="240"/>
        <w:ind w:left="709"/>
        <w:jc w:val="both"/>
        <w:rPr>
          <w:rFonts w:ascii="Cambria" w:hAnsi="Cambria"/>
          <w:sz w:val="24"/>
          <w:szCs w:val="24"/>
        </w:rPr>
      </w:pPr>
    </w:p>
    <w:p w:rsidR="007052A3" w:rsidRDefault="007052A3" w:rsidP="007052A3">
      <w:pPr>
        <w:pStyle w:val="Paragraphedeliste"/>
        <w:spacing w:before="120" w:after="240"/>
        <w:ind w:left="426"/>
        <w:jc w:val="both"/>
        <w:rPr>
          <w:rFonts w:ascii="Cambria" w:hAnsi="Cambria"/>
          <w:sz w:val="24"/>
          <w:szCs w:val="24"/>
        </w:rPr>
      </w:pPr>
      <w:r>
        <w:rPr>
          <w:rFonts w:ascii="Cambria" w:hAnsi="Cambria"/>
          <w:sz w:val="24"/>
          <w:szCs w:val="24"/>
        </w:rPr>
        <w:t>Subvention d’investissement pour l’achat de mobiliers de cuisine :</w:t>
      </w:r>
    </w:p>
    <w:p w:rsidR="007052A3" w:rsidRDefault="007052A3" w:rsidP="007052A3">
      <w:pPr>
        <w:pStyle w:val="Paragraphedeliste"/>
        <w:numPr>
          <w:ilvl w:val="0"/>
          <w:numId w:val="24"/>
        </w:numPr>
        <w:spacing w:before="120" w:after="240"/>
        <w:ind w:left="709"/>
        <w:jc w:val="both"/>
        <w:rPr>
          <w:rFonts w:ascii="Cambria" w:hAnsi="Cambria"/>
          <w:sz w:val="24"/>
          <w:szCs w:val="24"/>
        </w:rPr>
      </w:pPr>
      <w:r>
        <w:rPr>
          <w:rFonts w:ascii="Cambria" w:hAnsi="Cambria"/>
          <w:sz w:val="24"/>
          <w:szCs w:val="24"/>
        </w:rPr>
        <w:t xml:space="preserve">Association Union Territoriale – Fédération sportive et culturelle de France (UT-FSCF) pour un montant de 400 000 </w:t>
      </w:r>
      <w:proofErr w:type="spellStart"/>
      <w:r>
        <w:rPr>
          <w:rFonts w:ascii="Cambria" w:hAnsi="Cambria"/>
          <w:sz w:val="24"/>
          <w:szCs w:val="24"/>
        </w:rPr>
        <w:t>Fcfp</w:t>
      </w:r>
      <w:proofErr w:type="spellEnd"/>
      <w:r>
        <w:rPr>
          <w:rFonts w:ascii="Cambria" w:hAnsi="Cambria"/>
          <w:sz w:val="24"/>
          <w:szCs w:val="24"/>
        </w:rPr>
        <w:t> ;</w:t>
      </w:r>
    </w:p>
    <w:p w:rsidR="00C34DFF" w:rsidRDefault="00C34DFF" w:rsidP="00CE47CE">
      <w:pPr>
        <w:widowControl w:val="0"/>
        <w:autoSpaceDE w:val="0"/>
        <w:autoSpaceDN w:val="0"/>
        <w:adjustRightInd w:val="0"/>
        <w:rPr>
          <w:rFonts w:ascii="Cambria" w:hAnsi="Cambria"/>
          <w:b/>
        </w:rPr>
      </w:pPr>
    </w:p>
    <w:p w:rsidR="007052A3" w:rsidRDefault="007052A3" w:rsidP="00CE47CE">
      <w:pPr>
        <w:widowControl w:val="0"/>
        <w:autoSpaceDE w:val="0"/>
        <w:autoSpaceDN w:val="0"/>
        <w:adjustRightInd w:val="0"/>
        <w:rPr>
          <w:rFonts w:ascii="Cambria" w:hAnsi="Cambria"/>
          <w:b/>
        </w:rPr>
      </w:pPr>
    </w:p>
    <w:p w:rsidR="00C34DFF" w:rsidRPr="004377F6" w:rsidRDefault="00C34DFF" w:rsidP="00CE47CE">
      <w:pPr>
        <w:widowControl w:val="0"/>
        <w:autoSpaceDE w:val="0"/>
        <w:autoSpaceDN w:val="0"/>
        <w:adjustRightInd w:val="0"/>
        <w:rPr>
          <w:rFonts w:ascii="Cambria" w:hAnsi="Cambria" w:cs="Century Schoolbook"/>
        </w:rPr>
      </w:pPr>
    </w:p>
    <w:p w:rsidR="008059E4" w:rsidRPr="006A3579" w:rsidRDefault="00CE47CE" w:rsidP="006A3579">
      <w:pPr>
        <w:widowControl w:val="0"/>
        <w:autoSpaceDE w:val="0"/>
        <w:autoSpaceDN w:val="0"/>
        <w:adjustRightInd w:val="0"/>
        <w:jc w:val="center"/>
        <w:rPr>
          <w:rFonts w:ascii="Cambria" w:hAnsi="Cambria" w:cs="Century Schoolbook"/>
        </w:rPr>
      </w:pPr>
      <w:r w:rsidRPr="004377F6">
        <w:rPr>
          <w:rFonts w:ascii="Cambria" w:hAnsi="Cambria" w:cs="Century Schoolbook"/>
        </w:rPr>
        <w:t>-o-o-o-o-o-</w:t>
      </w:r>
    </w:p>
    <w:sectPr w:rsidR="008059E4" w:rsidRPr="006A3579" w:rsidSect="00613A2D">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FFC" w:rsidRDefault="00F20FFC">
      <w:r>
        <w:separator/>
      </w:r>
    </w:p>
  </w:endnote>
  <w:endnote w:type="continuationSeparator" w:id="0">
    <w:p w:rsidR="00F20FFC" w:rsidRDefault="00F2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91" w:rsidRDefault="00D42763" w:rsidP="00077D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A7D91" w:rsidRDefault="00F20FFC" w:rsidP="00130D85">
    <w:pPr>
      <w:pStyle w:val="Pieddepage"/>
      <w:ind w:right="360"/>
    </w:pPr>
    <w:sdt>
      <w:sdtPr>
        <w:id w:val="969400743"/>
        <w:temporary/>
        <w:showingPlcHdr/>
      </w:sdtPr>
      <w:sdtEndPr/>
      <w:sdtContent>
        <w:r w:rsidR="00D42763">
          <w:t>[Tapez le texte]</w:t>
        </w:r>
      </w:sdtContent>
    </w:sdt>
    <w:r w:rsidR="00D42763">
      <w:ptab w:relativeTo="margin" w:alignment="center" w:leader="none"/>
    </w:r>
    <w:sdt>
      <w:sdtPr>
        <w:id w:val="969400748"/>
        <w:temporary/>
        <w:showingPlcHdr/>
      </w:sdtPr>
      <w:sdtEndPr/>
      <w:sdtContent>
        <w:r w:rsidR="00D42763">
          <w:t>[Tapez le texte]</w:t>
        </w:r>
      </w:sdtContent>
    </w:sdt>
    <w:r w:rsidR="00D42763">
      <w:ptab w:relativeTo="margin" w:alignment="right" w:leader="none"/>
    </w:r>
    <w:sdt>
      <w:sdtPr>
        <w:id w:val="969400753"/>
        <w:temporary/>
        <w:showingPlcHdr/>
      </w:sdtPr>
      <w:sdtEndPr/>
      <w:sdtContent>
        <w:r w:rsidR="00D42763">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91" w:rsidRPr="00BA209E" w:rsidRDefault="00D42763" w:rsidP="004C1174">
    <w:pPr>
      <w:pStyle w:val="Pieddepage"/>
      <w:jc w:val="center"/>
      <w:rPr>
        <w:i/>
        <w:sz w:val="20"/>
        <w:szCs w:val="20"/>
      </w:rPr>
    </w:pPr>
    <w:r w:rsidRPr="00BA209E">
      <w:rPr>
        <w:i/>
        <w:sz w:val="20"/>
        <w:szCs w:val="20"/>
      </w:rPr>
      <w:t>Présidence de la Polynésie Française</w:t>
    </w:r>
  </w:p>
  <w:p w:rsidR="00EA7D91" w:rsidRPr="00BA209E" w:rsidRDefault="00D42763" w:rsidP="004C1174">
    <w:pPr>
      <w:pStyle w:val="Pieddepage"/>
      <w:jc w:val="center"/>
      <w:rPr>
        <w:i/>
        <w:sz w:val="20"/>
        <w:szCs w:val="20"/>
      </w:rPr>
    </w:pPr>
    <w:r w:rsidRPr="00BA209E">
      <w:rPr>
        <w:i/>
        <w:sz w:val="20"/>
        <w:szCs w:val="20"/>
      </w:rPr>
      <w:t xml:space="preserve">Service </w:t>
    </w:r>
    <w:r>
      <w:rPr>
        <w:i/>
        <w:sz w:val="20"/>
        <w:szCs w:val="20"/>
      </w:rPr>
      <w:t>de la communication</w:t>
    </w:r>
  </w:p>
  <w:p w:rsidR="00EA7D91" w:rsidRPr="00BA209E" w:rsidRDefault="00F20FFC" w:rsidP="004C1174">
    <w:pPr>
      <w:pStyle w:val="Pieddepage"/>
      <w:jc w:val="center"/>
      <w:rPr>
        <w:sz w:val="20"/>
        <w:szCs w:val="20"/>
      </w:rPr>
    </w:pPr>
    <w:hyperlink r:id="rId1" w:history="1">
      <w:r w:rsidR="00D42763" w:rsidRPr="00E264FC">
        <w:rPr>
          <w:rStyle w:val="Lienhypertexte"/>
          <w:sz w:val="20"/>
        </w:rPr>
        <w:t>communication@presidence.pf</w:t>
      </w:r>
    </w:hyperlink>
    <w:r w:rsidR="00D42763" w:rsidRPr="00BA209E">
      <w:rPr>
        <w:sz w:val="20"/>
        <w:szCs w:val="20"/>
      </w:rPr>
      <w:t xml:space="preserve"> – </w:t>
    </w:r>
    <w:r w:rsidR="00D42763">
      <w:rPr>
        <w:sz w:val="20"/>
        <w:szCs w:val="20"/>
      </w:rPr>
      <w:t xml:space="preserve">40 </w:t>
    </w:r>
    <w:r w:rsidR="00D42763" w:rsidRPr="00BA209E">
      <w:rPr>
        <w:sz w:val="20"/>
        <w:szCs w:val="20"/>
      </w:rPr>
      <w:t>47 20 00</w:t>
    </w:r>
  </w:p>
  <w:p w:rsidR="00EA7D91" w:rsidRDefault="00F20F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FFC" w:rsidRDefault="00F20FFC">
      <w:r>
        <w:separator/>
      </w:r>
    </w:p>
  </w:footnote>
  <w:footnote w:type="continuationSeparator" w:id="0">
    <w:p w:rsidR="00F20FFC" w:rsidRDefault="00F20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605E4"/>
    <w:multiLevelType w:val="hybridMultilevel"/>
    <w:tmpl w:val="9FAAA6BA"/>
    <w:lvl w:ilvl="0" w:tplc="6F0C7A84">
      <w:numFmt w:val="bullet"/>
      <w:lvlText w:val="-"/>
      <w:lvlJc w:val="left"/>
      <w:pPr>
        <w:ind w:left="1133" w:hanging="360"/>
      </w:pPr>
      <w:rPr>
        <w:rFonts w:ascii="Times New Roman" w:eastAsia="Calibri" w:hAnsi="Times New Roman" w:cs="Times New Roman"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1">
    <w:nsid w:val="19F04A28"/>
    <w:multiLevelType w:val="hybridMultilevel"/>
    <w:tmpl w:val="DF76381C"/>
    <w:lvl w:ilvl="0" w:tplc="05281BEE">
      <w:numFmt w:val="bullet"/>
      <w:lvlText w:val="-"/>
      <w:lvlJc w:val="left"/>
      <w:pPr>
        <w:ind w:left="1494" w:hanging="360"/>
      </w:pPr>
      <w:rPr>
        <w:rFonts w:ascii="Cambria" w:eastAsia="Calibri" w:hAnsi="Cambria"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nsid w:val="1B362E02"/>
    <w:multiLevelType w:val="hybridMultilevel"/>
    <w:tmpl w:val="ABDA3C32"/>
    <w:lvl w:ilvl="0" w:tplc="C1F2168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
    <w:nsid w:val="2BB62CFE"/>
    <w:multiLevelType w:val="hybridMultilevel"/>
    <w:tmpl w:val="4C909F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B74E5C"/>
    <w:multiLevelType w:val="hybridMultilevel"/>
    <w:tmpl w:val="A058E7BC"/>
    <w:lvl w:ilvl="0" w:tplc="E7F66C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903B23"/>
    <w:multiLevelType w:val="hybridMultilevel"/>
    <w:tmpl w:val="6D282ACA"/>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380557AA"/>
    <w:multiLevelType w:val="hybridMultilevel"/>
    <w:tmpl w:val="A238D466"/>
    <w:lvl w:ilvl="0" w:tplc="41FA8E4C">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9">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0">
    <w:nsid w:val="4272626A"/>
    <w:multiLevelType w:val="hybridMultilevel"/>
    <w:tmpl w:val="AC1AED7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475F5C84"/>
    <w:multiLevelType w:val="hybridMultilevel"/>
    <w:tmpl w:val="165ABD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nsid w:val="568320C5"/>
    <w:multiLevelType w:val="hybridMultilevel"/>
    <w:tmpl w:val="A47482F2"/>
    <w:lvl w:ilvl="0" w:tplc="D6949E7A">
      <w:start w:val="1"/>
      <w:numFmt w:val="bullet"/>
      <w:lvlText w:val="-"/>
      <w:lvlJc w:val="left"/>
      <w:pPr>
        <w:ind w:left="928" w:hanging="360"/>
      </w:pPr>
      <w:rPr>
        <w:rFonts w:ascii="Trebuchet MS" w:hAnsi="Trebuchet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D579C8"/>
    <w:multiLevelType w:val="hybridMultilevel"/>
    <w:tmpl w:val="80C48268"/>
    <w:lvl w:ilvl="0" w:tplc="9514CA0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A7D3F4C"/>
    <w:multiLevelType w:val="hybridMultilevel"/>
    <w:tmpl w:val="31528024"/>
    <w:lvl w:ilvl="0" w:tplc="E7E602D6">
      <w:start w:val="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5C851BEA"/>
    <w:multiLevelType w:val="hybridMultilevel"/>
    <w:tmpl w:val="5BEE112C"/>
    <w:lvl w:ilvl="0" w:tplc="BBC85E9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2687911"/>
    <w:multiLevelType w:val="hybridMultilevel"/>
    <w:tmpl w:val="B764170C"/>
    <w:lvl w:ilvl="0" w:tplc="040C000F">
      <w:start w:val="1"/>
      <w:numFmt w:val="decimal"/>
      <w:lvlText w:val="%1."/>
      <w:lvlJc w:val="left"/>
      <w:pPr>
        <w:ind w:left="1430" w:hanging="360"/>
      </w:p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8">
    <w:nsid w:val="70941CE0"/>
    <w:multiLevelType w:val="hybridMultilevel"/>
    <w:tmpl w:val="9BB02636"/>
    <w:lvl w:ilvl="0" w:tplc="52201554">
      <w:start w:val="4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7DD64253"/>
    <w:multiLevelType w:val="hybridMultilevel"/>
    <w:tmpl w:val="ED963768"/>
    <w:lvl w:ilvl="0" w:tplc="A8C8AA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3"/>
  </w:num>
  <w:num w:numId="2">
    <w:abstractNumId w:val="7"/>
  </w:num>
  <w:num w:numId="3">
    <w:abstractNumId w:val="3"/>
  </w:num>
  <w:num w:numId="4">
    <w:abstractNumId w:val="11"/>
  </w:num>
  <w:num w:numId="5">
    <w:abstractNumId w:val="12"/>
  </w:num>
  <w:num w:numId="6">
    <w:abstractNumId w:val="15"/>
  </w:num>
  <w:num w:numId="7">
    <w:abstractNumId w:val="11"/>
  </w:num>
  <w:num w:numId="8">
    <w:abstractNumId w:val="0"/>
  </w:num>
  <w:num w:numId="9">
    <w:abstractNumId w:val="2"/>
  </w:num>
  <w:num w:numId="10">
    <w:abstractNumId w:val="16"/>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8"/>
  </w:num>
  <w:num w:numId="15">
    <w:abstractNumId w:val="9"/>
  </w:num>
  <w:num w:numId="16">
    <w:abstractNumId w:val="20"/>
  </w:num>
  <w:num w:numId="17">
    <w:abstractNumId w:val="10"/>
  </w:num>
  <w:num w:numId="18">
    <w:abstractNumId w:val="5"/>
  </w:num>
  <w:num w:numId="19">
    <w:abstractNumId w:val="4"/>
  </w:num>
  <w:num w:numId="20">
    <w:abstractNumId w:val="19"/>
  </w:num>
  <w:num w:numId="21">
    <w:abstractNumId w:val="1"/>
  </w:num>
  <w:num w:numId="22">
    <w:abstractNumId w:val="6"/>
  </w:num>
  <w:num w:numId="23">
    <w:abstractNumId w:val="13"/>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33658"/>
    <w:rsid w:val="00064A61"/>
    <w:rsid w:val="001260E1"/>
    <w:rsid w:val="001C6C5E"/>
    <w:rsid w:val="002E1D40"/>
    <w:rsid w:val="0035386E"/>
    <w:rsid w:val="003625D8"/>
    <w:rsid w:val="003B14D7"/>
    <w:rsid w:val="003D62F0"/>
    <w:rsid w:val="003F0DC9"/>
    <w:rsid w:val="003F3E11"/>
    <w:rsid w:val="00415AE9"/>
    <w:rsid w:val="00447307"/>
    <w:rsid w:val="00464DBA"/>
    <w:rsid w:val="004824BE"/>
    <w:rsid w:val="004C0B54"/>
    <w:rsid w:val="004F2666"/>
    <w:rsid w:val="00580ED3"/>
    <w:rsid w:val="005F67A7"/>
    <w:rsid w:val="00643F5E"/>
    <w:rsid w:val="006A3579"/>
    <w:rsid w:val="006E411F"/>
    <w:rsid w:val="006E76C6"/>
    <w:rsid w:val="007052A3"/>
    <w:rsid w:val="00711F71"/>
    <w:rsid w:val="00745751"/>
    <w:rsid w:val="007503DC"/>
    <w:rsid w:val="007A6288"/>
    <w:rsid w:val="007A6645"/>
    <w:rsid w:val="007B3B1E"/>
    <w:rsid w:val="007D57D7"/>
    <w:rsid w:val="008059E4"/>
    <w:rsid w:val="0082621E"/>
    <w:rsid w:val="00852F12"/>
    <w:rsid w:val="008537CB"/>
    <w:rsid w:val="00866990"/>
    <w:rsid w:val="00891EDE"/>
    <w:rsid w:val="008C255E"/>
    <w:rsid w:val="008E053C"/>
    <w:rsid w:val="00906D50"/>
    <w:rsid w:val="009B11A7"/>
    <w:rsid w:val="00A40622"/>
    <w:rsid w:val="00A45B8E"/>
    <w:rsid w:val="00A73389"/>
    <w:rsid w:val="00A93D19"/>
    <w:rsid w:val="00AA5DB0"/>
    <w:rsid w:val="00AB7D79"/>
    <w:rsid w:val="00AD5EDD"/>
    <w:rsid w:val="00B31AD4"/>
    <w:rsid w:val="00B74014"/>
    <w:rsid w:val="00BA3B8B"/>
    <w:rsid w:val="00C25610"/>
    <w:rsid w:val="00C34DFF"/>
    <w:rsid w:val="00CE47CE"/>
    <w:rsid w:val="00D409EF"/>
    <w:rsid w:val="00D42763"/>
    <w:rsid w:val="00D61A9C"/>
    <w:rsid w:val="00DD023E"/>
    <w:rsid w:val="00DE148E"/>
    <w:rsid w:val="00E069DD"/>
    <w:rsid w:val="00E14BA1"/>
    <w:rsid w:val="00E64585"/>
    <w:rsid w:val="00E6755C"/>
    <w:rsid w:val="00E72D76"/>
    <w:rsid w:val="00E75455"/>
    <w:rsid w:val="00EA5932"/>
    <w:rsid w:val="00EF33F2"/>
    <w:rsid w:val="00EF67B9"/>
    <w:rsid w:val="00F20FFC"/>
    <w:rsid w:val="00F372AE"/>
    <w:rsid w:val="00F90E7B"/>
    <w:rsid w:val="00F93C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BBDFE-3911-44DF-B2EB-19747F15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15"/>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16"/>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semiHidden/>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4"/>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qFormat/>
    <w:rsid w:val="007A6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3504</Words>
  <Characters>19277</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6</cp:revision>
  <dcterms:created xsi:type="dcterms:W3CDTF">2019-08-21T04:07:00Z</dcterms:created>
  <dcterms:modified xsi:type="dcterms:W3CDTF">2019-08-22T00:44:00Z</dcterms:modified>
</cp:coreProperties>
</file>